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6D29" w14:textId="77777777" w:rsidR="007C27D7" w:rsidRDefault="007C27D7" w:rsidP="00BA1840">
      <w:pPr>
        <w:spacing w:after="0"/>
        <w:jc w:val="center"/>
        <w:rPr>
          <w:b/>
          <w:sz w:val="24"/>
          <w:szCs w:val="20"/>
        </w:rPr>
      </w:pPr>
    </w:p>
    <w:p w14:paraId="6FDC0BE7" w14:textId="35725709" w:rsidR="00F515EF" w:rsidRPr="002F204D" w:rsidRDefault="00BA1840" w:rsidP="00BA1840">
      <w:pPr>
        <w:spacing w:after="0"/>
        <w:jc w:val="center"/>
        <w:rPr>
          <w:b/>
          <w:sz w:val="28"/>
          <w:szCs w:val="20"/>
        </w:rPr>
      </w:pPr>
      <w:r w:rsidRPr="002F204D">
        <w:rPr>
          <w:b/>
          <w:sz w:val="28"/>
          <w:szCs w:val="20"/>
        </w:rPr>
        <w:t xml:space="preserve">The </w:t>
      </w:r>
      <w:r w:rsidR="003F7428" w:rsidRPr="002F204D">
        <w:rPr>
          <w:b/>
          <w:sz w:val="28"/>
          <w:szCs w:val="20"/>
        </w:rPr>
        <w:t>MA</w:t>
      </w:r>
      <w:r w:rsidRPr="002F204D">
        <w:rPr>
          <w:b/>
          <w:sz w:val="28"/>
          <w:szCs w:val="20"/>
        </w:rPr>
        <w:t xml:space="preserve"> Department of Corrections</w:t>
      </w:r>
      <w:r w:rsidR="00F515EF" w:rsidRPr="002F204D">
        <w:rPr>
          <w:b/>
          <w:sz w:val="28"/>
          <w:szCs w:val="20"/>
        </w:rPr>
        <w:t xml:space="preserve"> Focuses Resources on Control and Punishment</w:t>
      </w:r>
      <w:r w:rsidR="001D0100" w:rsidRPr="002F204D">
        <w:rPr>
          <w:b/>
          <w:sz w:val="28"/>
          <w:szCs w:val="20"/>
        </w:rPr>
        <w:t xml:space="preserve">, and </w:t>
      </w:r>
      <w:r w:rsidR="00F515EF" w:rsidRPr="002F204D">
        <w:rPr>
          <w:b/>
          <w:sz w:val="28"/>
          <w:szCs w:val="20"/>
        </w:rPr>
        <w:t xml:space="preserve"> </w:t>
      </w:r>
    </w:p>
    <w:p w14:paraId="5786F21E" w14:textId="0711F6EC" w:rsidR="00BA1840" w:rsidRPr="002F204D" w:rsidRDefault="0052020E" w:rsidP="00BA1840">
      <w:pPr>
        <w:spacing w:after="0"/>
        <w:jc w:val="center"/>
        <w:rPr>
          <w:b/>
          <w:sz w:val="28"/>
          <w:szCs w:val="20"/>
        </w:rPr>
      </w:pPr>
      <w:r w:rsidRPr="002F204D">
        <w:rPr>
          <w:b/>
          <w:sz w:val="28"/>
          <w:szCs w:val="20"/>
        </w:rPr>
        <w:t xml:space="preserve">Ignores </w:t>
      </w:r>
      <w:r w:rsidR="00B14730">
        <w:rPr>
          <w:b/>
          <w:sz w:val="28"/>
          <w:szCs w:val="20"/>
        </w:rPr>
        <w:t xml:space="preserve">Education, </w:t>
      </w:r>
      <w:r w:rsidRPr="002F204D">
        <w:rPr>
          <w:b/>
          <w:sz w:val="28"/>
          <w:szCs w:val="20"/>
        </w:rPr>
        <w:t xml:space="preserve">Rehabilitation </w:t>
      </w:r>
      <w:r w:rsidR="001D0100" w:rsidRPr="002F204D">
        <w:rPr>
          <w:b/>
          <w:sz w:val="28"/>
          <w:szCs w:val="20"/>
        </w:rPr>
        <w:t xml:space="preserve">and </w:t>
      </w:r>
      <w:r w:rsidRPr="002F204D">
        <w:rPr>
          <w:b/>
          <w:sz w:val="28"/>
          <w:szCs w:val="20"/>
        </w:rPr>
        <w:t>Re-E</w:t>
      </w:r>
      <w:r w:rsidR="00F515EF" w:rsidRPr="002F204D">
        <w:rPr>
          <w:b/>
          <w:sz w:val="28"/>
          <w:szCs w:val="20"/>
        </w:rPr>
        <w:t>ntry</w:t>
      </w:r>
      <w:r w:rsidRPr="002F204D">
        <w:rPr>
          <w:b/>
          <w:sz w:val="28"/>
          <w:szCs w:val="20"/>
        </w:rPr>
        <w:t xml:space="preserve"> </w:t>
      </w:r>
      <w:r w:rsidR="00B14730">
        <w:rPr>
          <w:b/>
          <w:sz w:val="28"/>
          <w:szCs w:val="20"/>
        </w:rPr>
        <w:t>Services</w:t>
      </w:r>
    </w:p>
    <w:p w14:paraId="75AA4374" w14:textId="77777777" w:rsidR="00C934A2" w:rsidRPr="002F204D" w:rsidRDefault="00C934A2" w:rsidP="009937FE">
      <w:pPr>
        <w:jc w:val="right"/>
        <w:rPr>
          <w:sz w:val="16"/>
          <w:szCs w:val="16"/>
        </w:rPr>
      </w:pPr>
    </w:p>
    <w:p w14:paraId="6BBF5759" w14:textId="26259DB5" w:rsidR="00BA1840" w:rsidRDefault="00BE1C15" w:rsidP="004073DE">
      <w:pPr>
        <w:rPr>
          <w:b/>
        </w:rPr>
      </w:pPr>
      <w:r w:rsidRPr="007C27D7">
        <w:rPr>
          <w:b/>
        </w:rPr>
        <w:t>Staffing priorities</w:t>
      </w:r>
      <w:r w:rsidR="001C5A50" w:rsidRPr="007C27D7">
        <w:rPr>
          <w:b/>
        </w:rPr>
        <w:t xml:space="preserve"> do not reflect an interest in rehabilitation</w:t>
      </w:r>
      <w:bookmarkStart w:id="0" w:name="_GoBack"/>
      <w:bookmarkEnd w:id="0"/>
      <w:r w:rsidR="001C5A50" w:rsidRPr="007C27D7">
        <w:rPr>
          <w:b/>
        </w:rPr>
        <w:t xml:space="preserve"> and </w:t>
      </w:r>
      <w:r w:rsidR="00B76B78" w:rsidRPr="007C27D7">
        <w:rPr>
          <w:b/>
        </w:rPr>
        <w:t xml:space="preserve">successful </w:t>
      </w:r>
      <w:r w:rsidR="001C5A50" w:rsidRPr="007C27D7">
        <w:rPr>
          <w:b/>
        </w:rPr>
        <w:t>re-entry</w:t>
      </w:r>
      <w:r w:rsidR="005D6C77" w:rsidRPr="007C27D7">
        <w:rPr>
          <w:b/>
        </w:rPr>
        <w:t xml:space="preserve"> (see </w:t>
      </w:r>
      <w:r w:rsidR="00713EA0">
        <w:rPr>
          <w:b/>
        </w:rPr>
        <w:t>Fig.</w:t>
      </w:r>
      <w:r w:rsidR="005D6C77" w:rsidRPr="007C27D7">
        <w:rPr>
          <w:b/>
        </w:rPr>
        <w:t xml:space="preserve"> 1)</w:t>
      </w:r>
    </w:p>
    <w:p w14:paraId="6203DD9F" w14:textId="5018DFF7" w:rsidR="00792AC3" w:rsidRPr="009C710D" w:rsidRDefault="00BA1840" w:rsidP="00E83CF9">
      <w:r w:rsidRPr="009C710D">
        <w:t xml:space="preserve">The MA Department of Corrections (DOC) has </w:t>
      </w:r>
      <w:r w:rsidR="00C16D6F" w:rsidRPr="009C710D">
        <w:t xml:space="preserve">recently </w:t>
      </w:r>
      <w:r w:rsidRPr="009C710D">
        <w:t xml:space="preserve">drawn attention </w:t>
      </w:r>
      <w:r w:rsidR="00090E33">
        <w:t xml:space="preserve">over solitary confinement, </w:t>
      </w:r>
      <w:r w:rsidR="005D4F5E" w:rsidRPr="009C710D">
        <w:t>but overstaffing Corrections Officers (CO) and understaffing specialists who promote rehabilitation and reduce recidivism</w:t>
      </w:r>
      <w:r w:rsidR="00792AC3" w:rsidRPr="009C710D">
        <w:t xml:space="preserve"> has gone unnoticed. </w:t>
      </w:r>
      <w:r w:rsidR="005D4F5E" w:rsidRPr="009C710D">
        <w:t xml:space="preserve"> </w:t>
      </w:r>
      <w:r w:rsidR="003B3823" w:rsidRPr="009C710D">
        <w:t>The DOC has a ratio of app. one C</w:t>
      </w:r>
      <w:r w:rsidR="003B3823">
        <w:t xml:space="preserve">orrections </w:t>
      </w:r>
      <w:r w:rsidR="003B3823" w:rsidRPr="009C710D">
        <w:t>O</w:t>
      </w:r>
      <w:r w:rsidR="003B3823">
        <w:t>fficer</w:t>
      </w:r>
      <w:r w:rsidR="003B3823" w:rsidRPr="009C710D">
        <w:t xml:space="preserve"> for every two inmates</w:t>
      </w:r>
      <w:r w:rsidR="003B3823">
        <w:t>, but</w:t>
      </w:r>
      <w:r w:rsidR="003B3823" w:rsidRPr="009C710D">
        <w:t xml:space="preserve"> about one teacher for every 104 inmates.</w:t>
      </w:r>
      <w:r w:rsidR="0048271A">
        <w:t xml:space="preserve"> </w:t>
      </w:r>
    </w:p>
    <w:p w14:paraId="77B63D5B" w14:textId="2E17F903" w:rsidR="00E83CF9" w:rsidRPr="009E61E7" w:rsidRDefault="00792AC3" w:rsidP="00E83CF9">
      <w:pPr>
        <w:rPr>
          <w:b/>
        </w:rPr>
      </w:pPr>
      <w:r w:rsidRPr="009E61E7">
        <w:rPr>
          <w:b/>
        </w:rPr>
        <w:t xml:space="preserve">The </w:t>
      </w:r>
      <w:r w:rsidR="009F76D5" w:rsidRPr="009E61E7">
        <w:rPr>
          <w:b/>
        </w:rPr>
        <w:t xml:space="preserve">numbers of </w:t>
      </w:r>
      <w:r w:rsidRPr="009E61E7">
        <w:rPr>
          <w:b/>
        </w:rPr>
        <w:t xml:space="preserve">non-CO staff </w:t>
      </w:r>
      <w:r w:rsidR="009F76D5" w:rsidRPr="009E61E7">
        <w:rPr>
          <w:b/>
        </w:rPr>
        <w:t xml:space="preserve">for a population of </w:t>
      </w:r>
      <w:r w:rsidRPr="009E61E7">
        <w:rPr>
          <w:b/>
        </w:rPr>
        <w:t>app.</w:t>
      </w:r>
      <w:r w:rsidR="00C05A44" w:rsidRPr="009E61E7">
        <w:rPr>
          <w:b/>
        </w:rPr>
        <w:t xml:space="preserve"> </w:t>
      </w:r>
      <w:r w:rsidR="006F6E6A" w:rsidRPr="009E61E7">
        <w:rPr>
          <w:b/>
        </w:rPr>
        <w:t xml:space="preserve">8,700 </w:t>
      </w:r>
      <w:r w:rsidR="009F76D5" w:rsidRPr="009E61E7">
        <w:rPr>
          <w:b/>
        </w:rPr>
        <w:t>inmates</w:t>
      </w:r>
      <w:r w:rsidR="00C05A44" w:rsidRPr="009E61E7">
        <w:rPr>
          <w:b/>
        </w:rPr>
        <w:t xml:space="preserve">, spread across 16 institutions, </w:t>
      </w:r>
      <w:r w:rsidR="009F76D5" w:rsidRPr="009E61E7">
        <w:rPr>
          <w:b/>
        </w:rPr>
        <w:t>is</w:t>
      </w:r>
      <w:r w:rsidR="00FA699C">
        <w:rPr>
          <w:b/>
        </w:rPr>
        <w:t xml:space="preserve"> clearly  </w:t>
      </w:r>
      <w:r w:rsidR="009F76D5" w:rsidRPr="009E61E7">
        <w:rPr>
          <w:b/>
        </w:rPr>
        <w:t xml:space="preserve"> inadequate</w:t>
      </w:r>
      <w:r w:rsidR="00503CB2" w:rsidRPr="009E61E7">
        <w:rPr>
          <w:b/>
        </w:rPr>
        <w:t>:</w:t>
      </w:r>
    </w:p>
    <w:p w14:paraId="6FECF1BD" w14:textId="3508D980" w:rsidR="007E7731" w:rsidRPr="009C710D" w:rsidRDefault="00FA699C" w:rsidP="00E83CF9">
      <w:pPr>
        <w:pStyle w:val="ListParagraph"/>
        <w:numPr>
          <w:ilvl w:val="0"/>
          <w:numId w:val="33"/>
        </w:numPr>
      </w:pPr>
      <w:r>
        <w:t>Almost 4,000</w:t>
      </w:r>
      <w:r w:rsidR="00BA1840" w:rsidRPr="009C710D">
        <w:t xml:space="preserve"> </w:t>
      </w:r>
      <w:r w:rsidR="00E77A15" w:rsidRPr="009C710D">
        <w:t>CO’</w:t>
      </w:r>
      <w:r w:rsidR="00C05A44" w:rsidRPr="009C710D">
        <w:t>s</w:t>
      </w:r>
      <w:r>
        <w:t xml:space="preserve"> (plus </w:t>
      </w:r>
      <w:r w:rsidR="00C56539">
        <w:t xml:space="preserve">app. 500 FTE COs through overtime pay) </w:t>
      </w:r>
    </w:p>
    <w:p w14:paraId="4D8CBDE0" w14:textId="59E3871C" w:rsidR="007E7731" w:rsidRPr="009C710D" w:rsidRDefault="007E7731" w:rsidP="007F1CE4">
      <w:pPr>
        <w:pStyle w:val="ListParagraph"/>
        <w:numPr>
          <w:ilvl w:val="0"/>
          <w:numId w:val="33"/>
        </w:numPr>
        <w:spacing w:after="0"/>
      </w:pPr>
      <w:r w:rsidRPr="009C710D">
        <w:t>86</w:t>
      </w:r>
      <w:r w:rsidR="00BA1840" w:rsidRPr="009C710D">
        <w:t xml:space="preserve"> teachers</w:t>
      </w:r>
      <w:r w:rsidR="00E92610" w:rsidRPr="009C710D">
        <w:t xml:space="preserve"> and </w:t>
      </w:r>
      <w:r w:rsidRPr="009C710D">
        <w:rPr>
          <w:i/>
        </w:rPr>
        <w:t>262</w:t>
      </w:r>
      <w:r w:rsidRPr="009C710D">
        <w:t xml:space="preserve"> vocational instructors</w:t>
      </w:r>
    </w:p>
    <w:p w14:paraId="08D2B19C" w14:textId="08C3349C" w:rsidR="007E7731" w:rsidRPr="009C710D" w:rsidRDefault="007D5192" w:rsidP="00503CB2">
      <w:pPr>
        <w:pStyle w:val="ListParagraph"/>
        <w:numPr>
          <w:ilvl w:val="0"/>
          <w:numId w:val="33"/>
        </w:numPr>
        <w:spacing w:after="0"/>
      </w:pPr>
      <w:r w:rsidRPr="009C710D">
        <w:rPr>
          <w:u w:val="single"/>
        </w:rPr>
        <w:t xml:space="preserve">a </w:t>
      </w:r>
      <w:r w:rsidRPr="009C710D">
        <w:rPr>
          <w:i/>
          <w:u w:val="single"/>
        </w:rPr>
        <w:t>single</w:t>
      </w:r>
      <w:r w:rsidRPr="009C710D">
        <w:rPr>
          <w:u w:val="single"/>
        </w:rPr>
        <w:t xml:space="preserve"> high school equivalency </w:t>
      </w:r>
      <w:r w:rsidR="007E7731" w:rsidRPr="009C710D">
        <w:rPr>
          <w:u w:val="single"/>
        </w:rPr>
        <w:t>test</w:t>
      </w:r>
      <w:r w:rsidR="0057175E" w:rsidRPr="009C710D">
        <w:rPr>
          <w:u w:val="single"/>
        </w:rPr>
        <w:t xml:space="preserve"> specialist</w:t>
      </w:r>
    </w:p>
    <w:p w14:paraId="5A2BCCE4" w14:textId="43C60CAE" w:rsidR="007E7731" w:rsidRPr="009C710D" w:rsidRDefault="007D5192" w:rsidP="00503CB2">
      <w:pPr>
        <w:pStyle w:val="ListParagraph"/>
        <w:numPr>
          <w:ilvl w:val="0"/>
          <w:numId w:val="33"/>
        </w:numPr>
        <w:spacing w:after="0"/>
        <w:rPr>
          <w:u w:val="single"/>
        </w:rPr>
      </w:pPr>
      <w:r w:rsidRPr="009C710D">
        <w:rPr>
          <w:u w:val="single"/>
        </w:rPr>
        <w:t xml:space="preserve">a </w:t>
      </w:r>
      <w:r w:rsidRPr="009C710D">
        <w:rPr>
          <w:i/>
          <w:u w:val="single"/>
        </w:rPr>
        <w:t>single</w:t>
      </w:r>
      <w:r w:rsidRPr="009C710D">
        <w:rPr>
          <w:u w:val="single"/>
        </w:rPr>
        <w:t xml:space="preserve"> reentry facilitator</w:t>
      </w:r>
    </w:p>
    <w:p w14:paraId="55F71061" w14:textId="15A44244" w:rsidR="00477431" w:rsidRPr="009C710D" w:rsidRDefault="00546969" w:rsidP="00676230">
      <w:pPr>
        <w:pStyle w:val="ListParagraph"/>
        <w:numPr>
          <w:ilvl w:val="0"/>
          <w:numId w:val="33"/>
        </w:numPr>
        <w:spacing w:after="0"/>
      </w:pPr>
      <w:r w:rsidRPr="009C710D">
        <w:t>10 psychiatrists</w:t>
      </w:r>
      <w:r w:rsidR="00A026B8" w:rsidRPr="009C710D">
        <w:t xml:space="preserve"> </w:t>
      </w:r>
      <w:r w:rsidR="00C42828" w:rsidRPr="009C710D">
        <w:t>(contracted)</w:t>
      </w:r>
      <w:r w:rsidR="00E92610" w:rsidRPr="009C710D">
        <w:t>,</w:t>
      </w:r>
      <w:r w:rsidRPr="009C710D">
        <w:t xml:space="preserve"> 5 psychologists</w:t>
      </w:r>
      <w:r w:rsidR="00E92610" w:rsidRPr="009C710D">
        <w:t>, 77</w:t>
      </w:r>
      <w:r w:rsidRPr="009C710D">
        <w:t xml:space="preserve"> </w:t>
      </w:r>
      <w:r w:rsidR="00A026B8" w:rsidRPr="009C710D">
        <w:t xml:space="preserve">general </w:t>
      </w:r>
      <w:r w:rsidRPr="009C710D">
        <w:t xml:space="preserve">mental health </w:t>
      </w:r>
      <w:r w:rsidR="00A026B8" w:rsidRPr="009C710D">
        <w:t>professionals</w:t>
      </w:r>
      <w:r w:rsidRPr="009C710D">
        <w:t xml:space="preserve"> </w:t>
      </w:r>
      <w:r w:rsidR="00C42828" w:rsidRPr="009C710D">
        <w:t>(contracted)</w:t>
      </w:r>
      <w:r w:rsidR="00E92610" w:rsidRPr="009C710D">
        <w:t>, and 1</w:t>
      </w:r>
      <w:r w:rsidRPr="009C710D">
        <w:t>8 addiction counselors</w:t>
      </w:r>
      <w:r w:rsidR="004C0B62">
        <w:t xml:space="preserve"> (contracted)</w:t>
      </w:r>
    </w:p>
    <w:p w14:paraId="436EDB6D" w14:textId="0882316A" w:rsidR="00706A86" w:rsidRDefault="00C934A2" w:rsidP="00EF64EA">
      <w:pPr>
        <w:ind w:left="360"/>
      </w:pPr>
      <w:r>
        <w:t>Is the</w:t>
      </w:r>
      <w:r w:rsidR="009C710D" w:rsidRPr="009C710D">
        <w:t xml:space="preserve"> DOC preparing inmates for re-entry? Given a 3-year recidivism rate of about 30%, it does not seem so. </w:t>
      </w:r>
    </w:p>
    <w:p w14:paraId="7F5AF28B" w14:textId="3621090A" w:rsidR="007C27D7" w:rsidRDefault="00FE409F" w:rsidP="004A1C28">
      <w:pPr>
        <w:spacing w:after="0"/>
        <w:rPr>
          <w:b/>
        </w:rPr>
      </w:pPr>
      <w:r>
        <w:t xml:space="preserve"> </w:t>
      </w:r>
      <w:r w:rsidR="008F3EAB">
        <w:rPr>
          <w:b/>
        </w:rPr>
        <w:t>Does the</w:t>
      </w:r>
      <w:r w:rsidR="007B2A64" w:rsidRPr="004A1C28">
        <w:rPr>
          <w:b/>
        </w:rPr>
        <w:t xml:space="preserve"> MA DOC need so many Correctional Officers? </w:t>
      </w:r>
    </w:p>
    <w:p w14:paraId="747F33A0" w14:textId="1C1445E8" w:rsidR="00421017" w:rsidRDefault="008F3EAB" w:rsidP="00C82EEE">
      <w:pPr>
        <w:pStyle w:val="ListParagraph"/>
        <w:numPr>
          <w:ilvl w:val="0"/>
          <w:numId w:val="6"/>
        </w:numPr>
      </w:pPr>
      <w:r>
        <w:t xml:space="preserve">According to a 2010 survey by the </w:t>
      </w:r>
      <w:r w:rsidRPr="0055076F">
        <w:t>Association of State Correctional Administrators</w:t>
      </w:r>
      <w:r>
        <w:t>, the DOC far exceeded</w:t>
      </w:r>
      <w:r w:rsidR="00C82EEE">
        <w:t xml:space="preserve"> the national level for CO staffing. </w:t>
      </w:r>
      <w:r>
        <w:t>The</w:t>
      </w:r>
      <w:r w:rsidR="00C82EEE" w:rsidRPr="0055076F">
        <w:t xml:space="preserve"> national average </w:t>
      </w:r>
      <w:r w:rsidR="00C82EEE">
        <w:t xml:space="preserve">inmate to CO ratio </w:t>
      </w:r>
      <w:r w:rsidR="00C82EEE" w:rsidRPr="0055076F">
        <w:t>was 5:1</w:t>
      </w:r>
      <w:r w:rsidR="00ED5EE2">
        <w:t>, while in MA it was 3:1</w:t>
      </w:r>
      <w:r w:rsidR="00F5023F">
        <w:t>, and now 2:1.</w:t>
      </w:r>
    </w:p>
    <w:p w14:paraId="41BF3EF0" w14:textId="4775232E" w:rsidR="00C82EEE" w:rsidRPr="00B12BA9" w:rsidRDefault="00F5023F" w:rsidP="00C82EEE">
      <w:pPr>
        <w:pStyle w:val="ListParagraph"/>
        <w:numPr>
          <w:ilvl w:val="0"/>
          <w:numId w:val="6"/>
        </w:numPr>
      </w:pPr>
      <w:r>
        <w:t>M</w:t>
      </w:r>
      <w:r w:rsidR="00C82EEE">
        <w:t xml:space="preserve">ore current national data is not available, </w:t>
      </w:r>
      <w:r w:rsidR="00706A86">
        <w:t xml:space="preserve">but </w:t>
      </w:r>
      <w:r w:rsidR="00706A86" w:rsidRPr="00B12BA9">
        <w:t>c</w:t>
      </w:r>
      <w:r w:rsidR="00C82EEE" w:rsidRPr="00B12BA9">
        <w:t xml:space="preserve">omparison to several states </w:t>
      </w:r>
      <w:r w:rsidR="0018720D" w:rsidRPr="00B12BA9">
        <w:t>suggests</w:t>
      </w:r>
      <w:r w:rsidR="00C82EEE" w:rsidRPr="00B12BA9">
        <w:t xml:space="preserve"> that the</w:t>
      </w:r>
      <w:r w:rsidR="00ED5EE2" w:rsidRPr="00B12BA9">
        <w:t xml:space="preserve"> </w:t>
      </w:r>
      <w:r w:rsidR="00C82EEE" w:rsidRPr="00B12BA9">
        <w:t xml:space="preserve">DOC is still </w:t>
      </w:r>
      <w:r w:rsidR="00706A86" w:rsidRPr="00B12BA9">
        <w:t xml:space="preserve">an outlier. </w:t>
      </w:r>
    </w:p>
    <w:p w14:paraId="62363C9D" w14:textId="77777777" w:rsidR="00BB2562" w:rsidRPr="00B12BA9" w:rsidRDefault="009B103D" w:rsidP="00634076">
      <w:pPr>
        <w:spacing w:after="0"/>
        <w:rPr>
          <w:b/>
        </w:rPr>
      </w:pPr>
      <w:r w:rsidRPr="00B12BA9">
        <w:rPr>
          <w:b/>
        </w:rPr>
        <w:t>CO capacity has been Inelastic with regard to the declining prison population in Massachusetts (see Fig. 2)</w:t>
      </w:r>
    </w:p>
    <w:p w14:paraId="762CF9AD" w14:textId="55C036D7" w:rsidR="009B103D" w:rsidRPr="00B12BA9" w:rsidRDefault="009B103D" w:rsidP="00634076">
      <w:pPr>
        <w:pStyle w:val="ListParagraph"/>
        <w:numPr>
          <w:ilvl w:val="0"/>
          <w:numId w:val="6"/>
        </w:numPr>
        <w:spacing w:after="0"/>
      </w:pPr>
      <w:r w:rsidRPr="00B12BA9">
        <w:t xml:space="preserve">The Massachusetts prison population under DOC jurisdiction have been falling in recent years: from over eleven thousand in 2010 to less than nine thousand in 2019.  </w:t>
      </w:r>
    </w:p>
    <w:p w14:paraId="36734B46" w14:textId="50CA9A24" w:rsidR="009B103D" w:rsidRPr="00B12BA9" w:rsidRDefault="009B103D" w:rsidP="00634076">
      <w:pPr>
        <w:pStyle w:val="ListParagraph"/>
        <w:numPr>
          <w:ilvl w:val="0"/>
          <w:numId w:val="1"/>
        </w:numPr>
        <w:spacing w:after="0"/>
      </w:pPr>
      <w:r w:rsidRPr="00B12BA9">
        <w:t xml:space="preserve">However, the DOC has not used the opportunity to redirect funds to rehabilitation and education. </w:t>
      </w:r>
    </w:p>
    <w:p w14:paraId="4327C908" w14:textId="77777777" w:rsidR="00EF6EAF" w:rsidRPr="00B12BA9" w:rsidRDefault="00EF6EAF" w:rsidP="00EF6EAF">
      <w:pPr>
        <w:pStyle w:val="ListParagraph"/>
        <w:spacing w:after="0"/>
        <w:ind w:left="360"/>
        <w:rPr>
          <w:sz w:val="18"/>
        </w:rPr>
      </w:pPr>
    </w:p>
    <w:p w14:paraId="28DBB3C1" w14:textId="77777777" w:rsidR="008F3EAB" w:rsidRPr="00B12BA9" w:rsidRDefault="008F3EAB" w:rsidP="003861F0">
      <w:pPr>
        <w:spacing w:after="0"/>
        <w:rPr>
          <w:b/>
        </w:rPr>
      </w:pPr>
      <w:r w:rsidRPr="00B12BA9">
        <w:rPr>
          <w:b/>
        </w:rPr>
        <w:t>Are taxpayer dollars being used effectively?</w:t>
      </w:r>
    </w:p>
    <w:p w14:paraId="4A62E59A" w14:textId="3E12BC2D" w:rsidR="00373575" w:rsidRPr="00B12BA9" w:rsidRDefault="00373575" w:rsidP="00373575">
      <w:pPr>
        <w:pStyle w:val="ListParagraph"/>
        <w:numPr>
          <w:ilvl w:val="0"/>
          <w:numId w:val="6"/>
        </w:numPr>
        <w:spacing w:after="0"/>
      </w:pPr>
      <w:r w:rsidRPr="00B12BA9">
        <w:t xml:space="preserve">DOC has been spending </w:t>
      </w:r>
      <w:r w:rsidR="008D1C34" w:rsidRPr="00B12BA9">
        <w:t>large</w:t>
      </w:r>
      <w:r w:rsidRPr="00B12BA9">
        <w:t xml:space="preserve"> sums of money for CO overtime. In 2018 the DOC paid out nearly $45 million in overtime and as of September 30, 2019 it has paid out about $34.2 million</w:t>
      </w:r>
      <w:r w:rsidR="008D1C34" w:rsidRPr="00B12BA9">
        <w:t xml:space="preserve"> (about $46 million annualized)</w:t>
      </w:r>
    </w:p>
    <w:p w14:paraId="143FE93E" w14:textId="26633B5B" w:rsidR="009B103D" w:rsidRPr="00B12BA9" w:rsidRDefault="00A73198" w:rsidP="004F508A">
      <w:pPr>
        <w:pStyle w:val="ListParagraph"/>
        <w:numPr>
          <w:ilvl w:val="0"/>
          <w:numId w:val="6"/>
        </w:numPr>
      </w:pPr>
      <w:r w:rsidRPr="00B12BA9">
        <w:t>As of September 30,</w:t>
      </w:r>
      <w:r w:rsidR="008D1C34" w:rsidRPr="00B12BA9">
        <w:t xml:space="preserve"> app. </w:t>
      </w:r>
      <w:r w:rsidR="00D32E33" w:rsidRPr="00B12BA9">
        <w:t>$</w:t>
      </w:r>
      <w:r w:rsidR="008D1C34" w:rsidRPr="00B12BA9">
        <w:t>6</w:t>
      </w:r>
      <w:r w:rsidR="00D32E33" w:rsidRPr="00B12BA9">
        <w:t xml:space="preserve">.2 million were paid to </w:t>
      </w:r>
      <w:r w:rsidR="008D1C34" w:rsidRPr="00B12BA9">
        <w:t>119</w:t>
      </w:r>
      <w:r w:rsidR="00D32E33" w:rsidRPr="00B12BA9">
        <w:t xml:space="preserve"> CO</w:t>
      </w:r>
      <w:r w:rsidR="000B6B54" w:rsidRPr="00B12BA9">
        <w:t>’</w:t>
      </w:r>
      <w:r w:rsidR="00DB5221" w:rsidRPr="00B12BA9">
        <w:t>s who reported an estimated</w:t>
      </w:r>
      <w:r w:rsidR="00D32E33" w:rsidRPr="00B12BA9">
        <w:t xml:space="preserve"> </w:t>
      </w:r>
      <w:r w:rsidR="0008709F" w:rsidRPr="00B12BA9">
        <w:t>70</w:t>
      </w:r>
      <w:r w:rsidR="00D32E33" w:rsidRPr="00B12BA9">
        <w:t xml:space="preserve"> </w:t>
      </w:r>
      <w:r w:rsidR="00A41BCD" w:rsidRPr="00B12BA9">
        <w:t>to</w:t>
      </w:r>
      <w:r w:rsidR="00D32E33" w:rsidRPr="00B12BA9">
        <w:t xml:space="preserve"> </w:t>
      </w:r>
      <w:r w:rsidR="0008709F" w:rsidRPr="00B12BA9">
        <w:t>230</w:t>
      </w:r>
      <w:r w:rsidR="00D32E33" w:rsidRPr="00B12BA9">
        <w:t xml:space="preserve"> hours of overtime a month</w:t>
      </w:r>
      <w:r w:rsidR="00240F77" w:rsidRPr="00B12BA9">
        <w:t xml:space="preserve"> (see Table 1</w:t>
      </w:r>
      <w:r w:rsidR="00DB5221" w:rsidRPr="00B12BA9">
        <w:t xml:space="preserve"> for calculation</w:t>
      </w:r>
      <w:r w:rsidR="00240F77" w:rsidRPr="00B12BA9">
        <w:t>)</w:t>
      </w:r>
      <w:r w:rsidR="00D32E33" w:rsidRPr="00B12BA9">
        <w:t xml:space="preserve">. </w:t>
      </w:r>
    </w:p>
    <w:p w14:paraId="7D9B36B3" w14:textId="0DD988E4" w:rsidR="00B85CE1" w:rsidRPr="00B12BA9" w:rsidRDefault="00A755BE" w:rsidP="00D75694">
      <w:pPr>
        <w:pStyle w:val="ListParagraph"/>
        <w:numPr>
          <w:ilvl w:val="0"/>
          <w:numId w:val="6"/>
        </w:numPr>
        <w:rPr>
          <w:b/>
          <w:bCs/>
        </w:rPr>
      </w:pPr>
      <w:r w:rsidRPr="00B12BA9">
        <w:t>On average, as of September30, CO</w:t>
      </w:r>
      <w:r w:rsidR="00F168DA" w:rsidRPr="00B12BA9">
        <w:t>’</w:t>
      </w:r>
      <w:r w:rsidRPr="00B12BA9">
        <w:t xml:space="preserve">s received $8.8 thousand in overtime pay – on top of an average annual pay rate of app. $80 thousand dollars. </w:t>
      </w:r>
    </w:p>
    <w:p w14:paraId="5D3EC581" w14:textId="69868DD1" w:rsidR="00AC01E3" w:rsidRPr="00B12BA9" w:rsidRDefault="00AC01E3" w:rsidP="00636AB7">
      <w:pPr>
        <w:spacing w:after="0"/>
        <w:rPr>
          <w:b/>
        </w:rPr>
      </w:pPr>
      <w:r w:rsidRPr="00B12BA9">
        <w:rPr>
          <w:b/>
        </w:rPr>
        <w:t>Needed Reforms:</w:t>
      </w:r>
      <w:r w:rsidR="00E92610" w:rsidRPr="00B12BA9">
        <w:rPr>
          <w:b/>
        </w:rPr>
        <w:t xml:space="preserve"> </w:t>
      </w:r>
    </w:p>
    <w:p w14:paraId="106ED9DE" w14:textId="534E13D4" w:rsidR="00636AB7" w:rsidRPr="00B12BA9" w:rsidRDefault="00636AB7" w:rsidP="00636AB7">
      <w:pPr>
        <w:pStyle w:val="ListParagraph"/>
        <w:numPr>
          <w:ilvl w:val="0"/>
          <w:numId w:val="6"/>
        </w:numPr>
      </w:pPr>
      <w:r w:rsidRPr="00B12BA9">
        <w:t xml:space="preserve">Fund educational, vocational, and personal development programs. Studies have shown that such programs, </w:t>
      </w:r>
      <w:r w:rsidR="00702607" w:rsidRPr="00B12BA9">
        <w:t xml:space="preserve">and </w:t>
      </w:r>
      <w:r w:rsidRPr="00B12BA9">
        <w:t>attainment of a high school diploma</w:t>
      </w:r>
      <w:r w:rsidR="00920336" w:rsidRPr="00B12BA9">
        <w:t>,</w:t>
      </w:r>
      <w:r w:rsidR="00702607" w:rsidRPr="00B12BA9">
        <w:t xml:space="preserve"> </w:t>
      </w:r>
      <w:r w:rsidRPr="00B12BA9">
        <w:t>help inmates stay out of prison. (DOJ, Federal Bureau of Prisons 2016 report.)</w:t>
      </w:r>
    </w:p>
    <w:p w14:paraId="367A5BBB" w14:textId="17D95B1B" w:rsidR="00B12BA9" w:rsidRDefault="00781C0D" w:rsidP="007914A9">
      <w:pPr>
        <w:pStyle w:val="ListParagraph"/>
        <w:numPr>
          <w:ilvl w:val="0"/>
          <w:numId w:val="15"/>
        </w:numPr>
        <w:spacing w:after="0"/>
      </w:pPr>
      <w:r w:rsidRPr="00B12BA9">
        <w:t xml:space="preserve">As the prison population falls, the DOC should close and sell old facilities. The property values for some, </w:t>
      </w:r>
      <w:r w:rsidR="00920336" w:rsidRPr="00B12BA9">
        <w:t>M</w:t>
      </w:r>
      <w:r w:rsidRPr="00B12BA9">
        <w:t xml:space="preserve">CI Concord and MCI Framingham, for example, would raise </w:t>
      </w:r>
      <w:r w:rsidRPr="00A606F5">
        <w:rPr>
          <w:i/>
        </w:rPr>
        <w:t>millions</w:t>
      </w:r>
      <w:r w:rsidRPr="00B12BA9">
        <w:t xml:space="preserve"> of dollars</w:t>
      </w:r>
      <w:r w:rsidR="00327AB4" w:rsidRPr="00B12BA9">
        <w:t>.</w:t>
      </w:r>
    </w:p>
    <w:p w14:paraId="174E8953" w14:textId="64B64701" w:rsidR="00EF6EAF" w:rsidRPr="00A606F5" w:rsidRDefault="0044343C" w:rsidP="00A606F5">
      <w:pPr>
        <w:pStyle w:val="ListParagraph"/>
        <w:numPr>
          <w:ilvl w:val="0"/>
          <w:numId w:val="15"/>
        </w:numPr>
        <w:spacing w:after="0"/>
      </w:pPr>
      <w:r w:rsidRPr="00B12BA9">
        <w:t>Eliminate solitary confinement (SC): I</w:t>
      </w:r>
      <w:r w:rsidR="00F35BAE" w:rsidRPr="00B12BA9">
        <w:t>t is torture</w:t>
      </w:r>
      <w:r w:rsidRPr="00B12BA9">
        <w:t xml:space="preserve">; causes mental damage; </w:t>
      </w:r>
      <w:r w:rsidR="00F35BAE" w:rsidRPr="00B12BA9">
        <w:t>increases recidivism</w:t>
      </w:r>
      <w:r w:rsidRPr="00B12BA9">
        <w:t>;</w:t>
      </w:r>
      <w:r w:rsidR="00F35BAE" w:rsidRPr="00B12BA9">
        <w:t xml:space="preserve"> </w:t>
      </w:r>
      <w:r w:rsidRPr="00B12BA9">
        <w:t>and</w:t>
      </w:r>
      <w:r w:rsidR="00B34017" w:rsidRPr="00B12BA9">
        <w:t xml:space="preserve"> due to </w:t>
      </w:r>
      <w:r w:rsidR="00F35BAE" w:rsidRPr="00B12BA9">
        <w:t xml:space="preserve">staffing </w:t>
      </w:r>
      <w:r w:rsidR="001D427F" w:rsidRPr="00B12BA9">
        <w:t xml:space="preserve">costs </w:t>
      </w:r>
      <w:r w:rsidR="00F35BAE" w:rsidRPr="00B12BA9">
        <w:t xml:space="preserve">three times </w:t>
      </w:r>
      <w:r w:rsidR="00920336" w:rsidRPr="00B12BA9">
        <w:t xml:space="preserve">as much as </w:t>
      </w:r>
      <w:r w:rsidR="00F35BAE" w:rsidRPr="00B12BA9">
        <w:t>general housing</w:t>
      </w:r>
      <w:r w:rsidRPr="00B12BA9">
        <w:t xml:space="preserve"> (app $240K</w:t>
      </w:r>
      <w:r w:rsidR="001D427F" w:rsidRPr="00B12BA9">
        <w:t xml:space="preserve"> / yr.</w:t>
      </w:r>
      <w:r w:rsidR="00467937" w:rsidRPr="00B12BA9">
        <w:t xml:space="preserve">). </w:t>
      </w:r>
      <w:r w:rsidRPr="00B12BA9">
        <w:t>Other states are moving to</w:t>
      </w:r>
      <w:r w:rsidR="00F910D5" w:rsidRPr="00B12BA9">
        <w:t xml:space="preserve"> reduce and</w:t>
      </w:r>
      <w:r w:rsidRPr="00B12BA9">
        <w:t xml:space="preserve"> </w:t>
      </w:r>
      <w:r w:rsidR="00467937" w:rsidRPr="00B12BA9">
        <w:t xml:space="preserve">altogether </w:t>
      </w:r>
      <w:r w:rsidR="00D97CF7" w:rsidRPr="00B12BA9">
        <w:t>eliminate SC, and studies have shown subjecting inmates to SC does not improve prison safety.</w:t>
      </w:r>
    </w:p>
    <w:p w14:paraId="036EE505" w14:textId="77777777" w:rsidR="00A606F5" w:rsidRDefault="00A606F5" w:rsidP="002F204D">
      <w:pPr>
        <w:spacing w:after="0"/>
        <w:jc w:val="center"/>
        <w:rPr>
          <w:sz w:val="28"/>
        </w:rPr>
      </w:pPr>
    </w:p>
    <w:p w14:paraId="5E9D32CE" w14:textId="77777777" w:rsidR="00C05862" w:rsidRPr="002F204D" w:rsidRDefault="00C05862" w:rsidP="002F204D">
      <w:pPr>
        <w:spacing w:after="0"/>
        <w:jc w:val="center"/>
        <w:rPr>
          <w:sz w:val="32"/>
          <w:szCs w:val="24"/>
        </w:rPr>
      </w:pPr>
      <w:r w:rsidRPr="002F204D">
        <w:rPr>
          <w:sz w:val="28"/>
        </w:rPr>
        <w:t>Attachment</w:t>
      </w:r>
      <w:r w:rsidR="00A352BB" w:rsidRPr="002F204D">
        <w:rPr>
          <w:sz w:val="32"/>
          <w:szCs w:val="24"/>
        </w:rPr>
        <w:t xml:space="preserve"> </w:t>
      </w:r>
    </w:p>
    <w:p w14:paraId="5949745E" w14:textId="77777777" w:rsidR="001A4FBC" w:rsidRPr="0062549C" w:rsidRDefault="001A4FBC" w:rsidP="00C05862">
      <w:pPr>
        <w:jc w:val="center"/>
        <w:rPr>
          <w:sz w:val="14"/>
          <w:szCs w:val="24"/>
        </w:rPr>
      </w:pPr>
    </w:p>
    <w:p w14:paraId="136CCBD0" w14:textId="7BF3B545" w:rsidR="000516CE" w:rsidRPr="00CE3A31" w:rsidRDefault="000516CE" w:rsidP="000516CE">
      <w:pPr>
        <w:rPr>
          <w:b/>
          <w:sz w:val="24"/>
          <w:szCs w:val="20"/>
        </w:rPr>
      </w:pPr>
      <w:r w:rsidRPr="00CE3A31">
        <w:rPr>
          <w:b/>
          <w:sz w:val="24"/>
          <w:szCs w:val="20"/>
        </w:rPr>
        <w:t>Figure 1</w:t>
      </w:r>
    </w:p>
    <w:p w14:paraId="4FD39FFC" w14:textId="4E4DCCAD" w:rsidR="000516CE" w:rsidRPr="00E80D77" w:rsidRDefault="000516CE" w:rsidP="000516CE">
      <w:pPr>
        <w:pStyle w:val="ListParagraph"/>
        <w:numPr>
          <w:ilvl w:val="0"/>
          <w:numId w:val="24"/>
        </w:numPr>
        <w:rPr>
          <w:b/>
          <w:sz w:val="32"/>
        </w:rPr>
      </w:pPr>
      <w:r w:rsidRPr="00E80D77">
        <w:rPr>
          <w:b/>
          <w:sz w:val="24"/>
        </w:rPr>
        <w:t xml:space="preserve">The numbers of Correction Officers employed by the DOC dramatically dwarfs the number of staff essential </w:t>
      </w:r>
      <w:r w:rsidR="009279EB" w:rsidRPr="00E80D77">
        <w:rPr>
          <w:b/>
          <w:sz w:val="24"/>
        </w:rPr>
        <w:t xml:space="preserve">to rehabilitation and successful re-entry, thus lower recidivism </w:t>
      </w:r>
      <w:r w:rsidR="0078404D" w:rsidRPr="00E80D77">
        <w:rPr>
          <w:b/>
          <w:sz w:val="24"/>
        </w:rPr>
        <w:t>(2019 data</w:t>
      </w:r>
      <w:r w:rsidR="001C1F2F" w:rsidRPr="00E80D77">
        <w:rPr>
          <w:b/>
          <w:sz w:val="24"/>
        </w:rPr>
        <w:t xml:space="preserve"> as of Sept. 30</w:t>
      </w:r>
      <w:r w:rsidR="0078404D" w:rsidRPr="00E80D77">
        <w:rPr>
          <w:b/>
          <w:sz w:val="24"/>
        </w:rPr>
        <w:t>)</w:t>
      </w:r>
    </w:p>
    <w:p w14:paraId="0B6BF791" w14:textId="77777777" w:rsidR="009279EB" w:rsidRPr="00B759A9" w:rsidRDefault="009279EB" w:rsidP="009279EB">
      <w:pPr>
        <w:pStyle w:val="ListParagraph"/>
        <w:rPr>
          <w:sz w:val="20"/>
        </w:rPr>
      </w:pPr>
    </w:p>
    <w:p w14:paraId="4805378A" w14:textId="77777777" w:rsidR="009279EB" w:rsidRPr="009279EB" w:rsidRDefault="009279EB" w:rsidP="009279EB">
      <w:pPr>
        <w:pStyle w:val="ListParagraph"/>
        <w:rPr>
          <w:sz w:val="28"/>
        </w:rPr>
      </w:pPr>
      <w:r>
        <w:rPr>
          <w:noProof/>
        </w:rPr>
        <w:drawing>
          <wp:inline distT="0" distB="0" distL="0" distR="0" wp14:anchorId="7ECEA84A" wp14:editId="6697B1BB">
            <wp:extent cx="4605453" cy="2888166"/>
            <wp:effectExtent l="0" t="0" r="508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307603" w14:textId="77777777" w:rsidR="009279EB" w:rsidRPr="009279EB" w:rsidRDefault="009279EB" w:rsidP="009279EB">
      <w:pPr>
        <w:pStyle w:val="ListParagraph"/>
        <w:spacing w:after="0"/>
        <w:rPr>
          <w:sz w:val="14"/>
          <w:szCs w:val="14"/>
        </w:rPr>
      </w:pPr>
    </w:p>
    <w:p w14:paraId="29E6CED7" w14:textId="5D2C1280" w:rsidR="00B721AE" w:rsidRPr="009279EB" w:rsidRDefault="009279EB" w:rsidP="009279EB">
      <w:pPr>
        <w:pStyle w:val="ListParagraph"/>
        <w:rPr>
          <w:sz w:val="28"/>
        </w:rPr>
      </w:pPr>
      <w:r w:rsidRPr="009279EB">
        <w:rPr>
          <w:szCs w:val="14"/>
        </w:rPr>
        <w:t>Note:  the 10 Psychiatrists, 18 Addiction Counselors, and 77 Mental Health Professionals are deployed through a vendor contract; data acquired through FOIA request</w:t>
      </w:r>
    </w:p>
    <w:p w14:paraId="75185452" w14:textId="77777777" w:rsidR="000C3E3D" w:rsidRPr="000C3E3D" w:rsidRDefault="000C3E3D" w:rsidP="000516CE">
      <w:pPr>
        <w:spacing w:after="0"/>
        <w:rPr>
          <w:sz w:val="14"/>
          <w:szCs w:val="14"/>
        </w:rPr>
      </w:pPr>
    </w:p>
    <w:p w14:paraId="25CBB85F" w14:textId="1B3EA19D" w:rsidR="000516CE" w:rsidRPr="00F56AC3" w:rsidRDefault="000516CE" w:rsidP="00E90CF8">
      <w:pPr>
        <w:rPr>
          <w:sz w:val="10"/>
          <w:szCs w:val="10"/>
        </w:rPr>
      </w:pPr>
      <w:r w:rsidRPr="00CE3A31">
        <w:rPr>
          <w:b/>
          <w:sz w:val="24"/>
          <w:szCs w:val="20"/>
        </w:rPr>
        <w:t>Figure 2</w:t>
      </w:r>
    </w:p>
    <w:p w14:paraId="47E23F87" w14:textId="0CFC1480" w:rsidR="00852CEA" w:rsidRPr="00573EE4" w:rsidRDefault="00FB27F7" w:rsidP="00F91823">
      <w:pPr>
        <w:pStyle w:val="ListParagraph"/>
        <w:numPr>
          <w:ilvl w:val="0"/>
          <w:numId w:val="34"/>
        </w:numPr>
        <w:jc w:val="center"/>
      </w:pPr>
      <w:r w:rsidRPr="00A606F5">
        <w:rPr>
          <w:b/>
          <w:sz w:val="24"/>
        </w:rPr>
        <w:t>The number of COs employed has barely budged as the prison population declined</w:t>
      </w:r>
      <w:r w:rsidR="0078404D" w:rsidRPr="00A606F5">
        <w:rPr>
          <w:b/>
          <w:sz w:val="24"/>
        </w:rPr>
        <w:t xml:space="preserve"> </w:t>
      </w:r>
      <w:r w:rsidR="00E80D77">
        <w:rPr>
          <w:noProof/>
        </w:rPr>
        <w:drawing>
          <wp:inline distT="0" distB="0" distL="0" distR="0" wp14:anchorId="28F5FC3F" wp14:editId="3155C678">
            <wp:extent cx="4402455" cy="2721610"/>
            <wp:effectExtent l="0" t="0" r="17145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BF5A61" w14:textId="039EDEDF" w:rsidR="00F21BD2" w:rsidRDefault="00BB18CE" w:rsidP="00E81551">
      <w:pPr>
        <w:jc w:val="center"/>
        <w:rPr>
          <w:sz w:val="28"/>
        </w:rPr>
      </w:pPr>
      <w:r>
        <w:rPr>
          <w:sz w:val="28"/>
        </w:rPr>
        <w:lastRenderedPageBreak/>
        <w:t>Attachment cont.</w:t>
      </w:r>
    </w:p>
    <w:p w14:paraId="4FD009D7" w14:textId="77777777" w:rsidR="00FC7C56" w:rsidRDefault="00FC7C56" w:rsidP="00E81551">
      <w:pPr>
        <w:jc w:val="center"/>
        <w:rPr>
          <w:sz w:val="28"/>
        </w:rPr>
      </w:pPr>
    </w:p>
    <w:p w14:paraId="7B166208" w14:textId="24BBC073" w:rsidR="00FC7C56" w:rsidRPr="00BD7B32" w:rsidRDefault="00FC7C56" w:rsidP="00FC7C56">
      <w:pPr>
        <w:rPr>
          <w:b/>
          <w:sz w:val="28"/>
          <w:szCs w:val="20"/>
        </w:rPr>
      </w:pPr>
      <w:r w:rsidRPr="00BD7B32">
        <w:rPr>
          <w:b/>
          <w:sz w:val="28"/>
          <w:szCs w:val="20"/>
        </w:rPr>
        <w:t>Table 1</w:t>
      </w:r>
    </w:p>
    <w:p w14:paraId="536502A4" w14:textId="5223E032" w:rsidR="00A60554" w:rsidRDefault="00125313" w:rsidP="009D4B7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Overtime Pay Accrued by</w:t>
      </w:r>
      <w:r w:rsidR="00016970">
        <w:rPr>
          <w:b/>
          <w:sz w:val="28"/>
        </w:rPr>
        <w:t xml:space="preserve"> </w:t>
      </w:r>
      <w:r w:rsidR="005007D5">
        <w:rPr>
          <w:b/>
          <w:sz w:val="28"/>
        </w:rPr>
        <w:t>119</w:t>
      </w:r>
      <w:r w:rsidR="00A60554" w:rsidRPr="00C95480">
        <w:rPr>
          <w:b/>
          <w:sz w:val="28"/>
        </w:rPr>
        <w:t xml:space="preserve"> </w:t>
      </w:r>
      <w:r w:rsidR="00016970">
        <w:rPr>
          <w:b/>
          <w:sz w:val="28"/>
        </w:rPr>
        <w:t>CO’s</w:t>
      </w:r>
      <w:r w:rsidR="00A60554" w:rsidRPr="00C95480">
        <w:rPr>
          <w:b/>
          <w:sz w:val="28"/>
        </w:rPr>
        <w:t xml:space="preserve"> who </w:t>
      </w:r>
      <w:r w:rsidR="00016970">
        <w:rPr>
          <w:b/>
          <w:sz w:val="28"/>
        </w:rPr>
        <w:t xml:space="preserve">averaged </w:t>
      </w:r>
      <w:r w:rsidR="005007D5">
        <w:rPr>
          <w:b/>
          <w:sz w:val="28"/>
        </w:rPr>
        <w:t>70</w:t>
      </w:r>
      <w:r w:rsidR="00016970">
        <w:rPr>
          <w:b/>
          <w:sz w:val="28"/>
        </w:rPr>
        <w:t xml:space="preserve"> to </w:t>
      </w:r>
      <w:r w:rsidR="005007D5">
        <w:rPr>
          <w:b/>
          <w:sz w:val="28"/>
        </w:rPr>
        <w:t xml:space="preserve">230 </w:t>
      </w:r>
      <w:r w:rsidR="00A60554" w:rsidRPr="00C95480">
        <w:rPr>
          <w:b/>
          <w:sz w:val="28"/>
        </w:rPr>
        <w:t xml:space="preserve">hours </w:t>
      </w:r>
      <w:r w:rsidR="00016970">
        <w:rPr>
          <w:b/>
          <w:sz w:val="28"/>
        </w:rPr>
        <w:t xml:space="preserve">of OT </w:t>
      </w:r>
      <w:r w:rsidR="00A60554" w:rsidRPr="00C95480">
        <w:rPr>
          <w:b/>
          <w:sz w:val="28"/>
        </w:rPr>
        <w:t>per month</w:t>
      </w:r>
      <w:r w:rsidR="00C95480">
        <w:rPr>
          <w:b/>
          <w:sz w:val="28"/>
        </w:rPr>
        <w:t>*</w:t>
      </w:r>
      <w:r w:rsidR="00ED7022">
        <w:rPr>
          <w:b/>
          <w:sz w:val="28"/>
        </w:rPr>
        <w:t>*</w:t>
      </w:r>
    </w:p>
    <w:p w14:paraId="4E21DDE1" w14:textId="5068BA08" w:rsidR="00016970" w:rsidRDefault="00016970" w:rsidP="009D4B7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(broken down into three groups based on the estimated range of monthly overtime worked)</w:t>
      </w:r>
    </w:p>
    <w:p w14:paraId="74B4045F" w14:textId="77777777" w:rsidR="009D4B78" w:rsidRDefault="009D4B78" w:rsidP="009D4B78">
      <w:pPr>
        <w:spacing w:after="0"/>
        <w:rPr>
          <w:b/>
          <w:sz w:val="28"/>
        </w:rPr>
      </w:pPr>
    </w:p>
    <w:p w14:paraId="5E3FE68E" w14:textId="77777777" w:rsidR="000116AB" w:rsidRPr="000116AB" w:rsidRDefault="009D4B78" w:rsidP="009D4B78">
      <w:pPr>
        <w:spacing w:after="0"/>
        <w:rPr>
          <w:b/>
          <w:sz w:val="24"/>
        </w:rPr>
      </w:pPr>
      <w:r w:rsidRPr="000116AB">
        <w:rPr>
          <w:b/>
          <w:sz w:val="24"/>
        </w:rPr>
        <w:t xml:space="preserve">Note: </w:t>
      </w:r>
    </w:p>
    <w:p w14:paraId="421CA97E" w14:textId="52DD9021" w:rsidR="009D4B78" w:rsidRPr="000116AB" w:rsidRDefault="000116AB" w:rsidP="000116AB">
      <w:pPr>
        <w:pStyle w:val="ListParagraph"/>
        <w:numPr>
          <w:ilvl w:val="0"/>
          <w:numId w:val="34"/>
        </w:numPr>
        <w:spacing w:after="0"/>
        <w:ind w:left="360"/>
        <w:rPr>
          <w:sz w:val="24"/>
        </w:rPr>
      </w:pPr>
      <w:r w:rsidRPr="000116AB">
        <w:rPr>
          <w:sz w:val="24"/>
        </w:rPr>
        <w:t xml:space="preserve">Across all CO’s, </w:t>
      </w:r>
      <w:r w:rsidR="009D4B78" w:rsidRPr="000116AB">
        <w:rPr>
          <w:sz w:val="24"/>
        </w:rPr>
        <w:t xml:space="preserve">on an </w:t>
      </w:r>
      <w:r w:rsidR="009D4B78" w:rsidRPr="00A6029E">
        <w:rPr>
          <w:sz w:val="24"/>
          <w:u w:val="single"/>
        </w:rPr>
        <w:t xml:space="preserve">annualized </w:t>
      </w:r>
      <w:r w:rsidR="00EE4205" w:rsidRPr="00A6029E">
        <w:rPr>
          <w:sz w:val="24"/>
          <w:u w:val="single"/>
        </w:rPr>
        <w:t>basis</w:t>
      </w:r>
      <w:r w:rsidR="00F242F4">
        <w:rPr>
          <w:sz w:val="24"/>
          <w:u w:val="single"/>
        </w:rPr>
        <w:t xml:space="preserve"> </w:t>
      </w:r>
      <w:r w:rsidR="00F242F4">
        <w:rPr>
          <w:sz w:val="24"/>
        </w:rPr>
        <w:t>(2019 data reflects 9 months)</w:t>
      </w:r>
      <w:r w:rsidR="00EE4205" w:rsidRPr="000116AB">
        <w:rPr>
          <w:sz w:val="24"/>
        </w:rPr>
        <w:t xml:space="preserve">, the DOC would pay out </w:t>
      </w:r>
      <w:r w:rsidR="003D74BC" w:rsidRPr="000116AB">
        <w:rPr>
          <w:sz w:val="24"/>
        </w:rPr>
        <w:t xml:space="preserve">nearly $46 million </w:t>
      </w:r>
      <w:r w:rsidRPr="000116AB">
        <w:rPr>
          <w:sz w:val="24"/>
        </w:rPr>
        <w:t>i</w:t>
      </w:r>
      <w:r w:rsidR="003D74BC" w:rsidRPr="000116AB">
        <w:rPr>
          <w:sz w:val="24"/>
        </w:rPr>
        <w:t>n overtime pay</w:t>
      </w:r>
      <w:r w:rsidR="00BF462C">
        <w:rPr>
          <w:sz w:val="24"/>
        </w:rPr>
        <w:t xml:space="preserve">, averaging </w:t>
      </w:r>
      <w:r w:rsidR="005F4E69">
        <w:rPr>
          <w:sz w:val="24"/>
        </w:rPr>
        <w:t xml:space="preserve">app. </w:t>
      </w:r>
      <w:r w:rsidR="00BF462C">
        <w:rPr>
          <w:sz w:val="24"/>
        </w:rPr>
        <w:t xml:space="preserve"> $</w:t>
      </w:r>
      <w:r w:rsidR="00BD7B32">
        <w:rPr>
          <w:sz w:val="24"/>
        </w:rPr>
        <w:t>12</w:t>
      </w:r>
      <w:r w:rsidR="00BF462C">
        <w:rPr>
          <w:sz w:val="24"/>
        </w:rPr>
        <w:t xml:space="preserve"> thousand per year</w:t>
      </w:r>
      <w:r w:rsidR="00F242F4">
        <w:rPr>
          <w:sz w:val="24"/>
        </w:rPr>
        <w:t xml:space="preserve"> </w:t>
      </w:r>
      <w:r w:rsidR="005F4E69">
        <w:rPr>
          <w:sz w:val="24"/>
        </w:rPr>
        <w:t>for each CO</w:t>
      </w:r>
    </w:p>
    <w:p w14:paraId="0EE5A6B5" w14:textId="02F6A4EA" w:rsidR="000116AB" w:rsidRDefault="000116AB" w:rsidP="000116AB">
      <w:pPr>
        <w:pStyle w:val="ListParagraph"/>
        <w:numPr>
          <w:ilvl w:val="0"/>
          <w:numId w:val="34"/>
        </w:numPr>
        <w:spacing w:after="0"/>
        <w:ind w:left="360"/>
        <w:rPr>
          <w:sz w:val="24"/>
        </w:rPr>
      </w:pPr>
      <w:r w:rsidRPr="000116AB">
        <w:rPr>
          <w:sz w:val="24"/>
        </w:rPr>
        <w:t>For</w:t>
      </w:r>
      <w:r w:rsidR="005F4E69">
        <w:rPr>
          <w:sz w:val="24"/>
        </w:rPr>
        <w:t xml:space="preserve"> </w:t>
      </w:r>
      <w:r w:rsidRPr="000116AB">
        <w:rPr>
          <w:sz w:val="24"/>
        </w:rPr>
        <w:t xml:space="preserve">the </w:t>
      </w:r>
      <w:r w:rsidR="00A6029E">
        <w:rPr>
          <w:sz w:val="24"/>
        </w:rPr>
        <w:t xml:space="preserve">119 </w:t>
      </w:r>
      <w:r w:rsidRPr="000116AB">
        <w:rPr>
          <w:sz w:val="24"/>
        </w:rPr>
        <w:t>CO</w:t>
      </w:r>
      <w:r>
        <w:rPr>
          <w:sz w:val="24"/>
        </w:rPr>
        <w:t>’</w:t>
      </w:r>
      <w:r w:rsidRPr="000116AB">
        <w:rPr>
          <w:sz w:val="24"/>
        </w:rPr>
        <w:t xml:space="preserve">s with estimated </w:t>
      </w:r>
      <w:r w:rsidR="00BF462C">
        <w:rPr>
          <w:sz w:val="24"/>
        </w:rPr>
        <w:t xml:space="preserve">monthly </w:t>
      </w:r>
      <w:r w:rsidRPr="000116AB">
        <w:rPr>
          <w:sz w:val="24"/>
        </w:rPr>
        <w:t xml:space="preserve">overtime </w:t>
      </w:r>
      <w:r w:rsidR="00B64625">
        <w:rPr>
          <w:sz w:val="24"/>
        </w:rPr>
        <w:t>between</w:t>
      </w:r>
      <w:r w:rsidRPr="000116AB">
        <w:rPr>
          <w:sz w:val="24"/>
        </w:rPr>
        <w:t xml:space="preserve"> </w:t>
      </w:r>
      <w:r w:rsidR="005F4E69">
        <w:rPr>
          <w:sz w:val="24"/>
        </w:rPr>
        <w:t>70</w:t>
      </w:r>
      <w:r w:rsidRPr="000116AB">
        <w:rPr>
          <w:sz w:val="24"/>
        </w:rPr>
        <w:t xml:space="preserve"> </w:t>
      </w:r>
      <w:r w:rsidR="00B64625">
        <w:rPr>
          <w:sz w:val="24"/>
        </w:rPr>
        <w:t xml:space="preserve">and </w:t>
      </w:r>
      <w:r w:rsidR="005F4E69">
        <w:rPr>
          <w:sz w:val="24"/>
        </w:rPr>
        <w:t>230</w:t>
      </w:r>
      <w:r w:rsidR="00B64625">
        <w:rPr>
          <w:sz w:val="24"/>
        </w:rPr>
        <w:t xml:space="preserve"> hours</w:t>
      </w:r>
      <w:r w:rsidRPr="000116AB">
        <w:rPr>
          <w:sz w:val="24"/>
        </w:rPr>
        <w:t>, the DOC annualized payout would be app. $</w:t>
      </w:r>
      <w:r w:rsidR="00B76B05">
        <w:rPr>
          <w:sz w:val="24"/>
        </w:rPr>
        <w:t>8</w:t>
      </w:r>
      <w:r w:rsidR="005F4E69">
        <w:rPr>
          <w:sz w:val="24"/>
        </w:rPr>
        <w:t>.2</w:t>
      </w:r>
      <w:r w:rsidRPr="000116AB">
        <w:rPr>
          <w:sz w:val="24"/>
        </w:rPr>
        <w:t xml:space="preserve"> million </w:t>
      </w:r>
    </w:p>
    <w:p w14:paraId="392A1868" w14:textId="56F399C0" w:rsidR="00C95480" w:rsidRPr="00647E2E" w:rsidRDefault="000116AB" w:rsidP="00827809">
      <w:pPr>
        <w:pStyle w:val="ListParagraph"/>
        <w:numPr>
          <w:ilvl w:val="0"/>
          <w:numId w:val="34"/>
        </w:numPr>
        <w:spacing w:after="0"/>
        <w:ind w:left="360"/>
        <w:rPr>
          <w:b/>
          <w:sz w:val="28"/>
        </w:rPr>
      </w:pPr>
      <w:r>
        <w:rPr>
          <w:sz w:val="24"/>
        </w:rPr>
        <w:t xml:space="preserve">For </w:t>
      </w:r>
      <w:r w:rsidR="00BF462C">
        <w:rPr>
          <w:sz w:val="24"/>
        </w:rPr>
        <w:t xml:space="preserve">just </w:t>
      </w:r>
      <w:r>
        <w:rPr>
          <w:sz w:val="24"/>
        </w:rPr>
        <w:t xml:space="preserve">the </w:t>
      </w:r>
      <w:r w:rsidR="005F4E69">
        <w:rPr>
          <w:sz w:val="24"/>
        </w:rPr>
        <w:t>43</w:t>
      </w:r>
      <w:r>
        <w:rPr>
          <w:sz w:val="24"/>
        </w:rPr>
        <w:t xml:space="preserve"> CO’s with estimated</w:t>
      </w:r>
      <w:r w:rsidR="00BF462C">
        <w:rPr>
          <w:sz w:val="24"/>
        </w:rPr>
        <w:t xml:space="preserve"> monthly</w:t>
      </w:r>
      <w:r>
        <w:rPr>
          <w:sz w:val="24"/>
        </w:rPr>
        <w:t xml:space="preserve"> overtime between </w:t>
      </w:r>
      <w:r w:rsidR="005F4E69">
        <w:rPr>
          <w:sz w:val="24"/>
        </w:rPr>
        <w:t>100</w:t>
      </w:r>
      <w:r>
        <w:rPr>
          <w:sz w:val="24"/>
        </w:rPr>
        <w:t xml:space="preserve"> and </w:t>
      </w:r>
      <w:r w:rsidR="005F4E69">
        <w:rPr>
          <w:sz w:val="24"/>
        </w:rPr>
        <w:t>230</w:t>
      </w:r>
      <w:r>
        <w:rPr>
          <w:sz w:val="24"/>
        </w:rPr>
        <w:t xml:space="preserve"> hours, the annualized payout would be </w:t>
      </w:r>
      <w:r w:rsidR="005F4E69">
        <w:rPr>
          <w:sz w:val="24"/>
        </w:rPr>
        <w:t>app.</w:t>
      </w:r>
      <w:r w:rsidR="00271017">
        <w:rPr>
          <w:sz w:val="24"/>
        </w:rPr>
        <w:t xml:space="preserve"> $</w:t>
      </w:r>
      <w:r w:rsidR="00B76B05">
        <w:rPr>
          <w:sz w:val="24"/>
        </w:rPr>
        <w:t>4</w:t>
      </w:r>
      <w:r w:rsidR="00271017">
        <w:rPr>
          <w:sz w:val="24"/>
        </w:rPr>
        <w:t xml:space="preserve"> million</w:t>
      </w:r>
    </w:p>
    <w:p w14:paraId="1BA4C903" w14:textId="77777777" w:rsidR="00647E2E" w:rsidRPr="00647E2E" w:rsidRDefault="00647E2E" w:rsidP="00647E2E">
      <w:pPr>
        <w:pStyle w:val="ListParagraph"/>
        <w:spacing w:after="0"/>
        <w:ind w:left="360"/>
        <w:rPr>
          <w:b/>
          <w:sz w:val="28"/>
        </w:rPr>
      </w:pPr>
    </w:p>
    <w:tbl>
      <w:tblPr>
        <w:tblW w:w="8275" w:type="dxa"/>
        <w:tblLook w:val="04A0" w:firstRow="1" w:lastRow="0" w:firstColumn="1" w:lastColumn="0" w:noHBand="0" w:noVBand="1"/>
      </w:tblPr>
      <w:tblGrid>
        <w:gridCol w:w="1163"/>
        <w:gridCol w:w="1478"/>
        <w:gridCol w:w="1764"/>
        <w:gridCol w:w="1980"/>
        <w:gridCol w:w="1890"/>
      </w:tblGrid>
      <w:tr w:rsidR="00647E2E" w:rsidRPr="00647E2E" w14:paraId="46A0CED7" w14:textId="77777777" w:rsidTr="00647E2E">
        <w:trPr>
          <w:trHeight w:val="900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6D0E2FC" w14:textId="598EDF14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</w:rPr>
              <w:t>Subset</w:t>
            </w:r>
            <w:r w:rsidRPr="00647E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 xml:space="preserve"> of CO's who reported at least 70 hours overtime/month**</w:t>
            </w:r>
          </w:p>
        </w:tc>
      </w:tr>
      <w:tr w:rsidR="00647E2E" w:rsidRPr="00647E2E" w14:paraId="4D535155" w14:textId="77777777" w:rsidTr="00647E2E">
        <w:trPr>
          <w:trHeight w:val="9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2BDA29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Hours of OT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5D1863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Number of COs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7D3801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Total OT Pay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DA2E04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Annualized OT Pay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4243D60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Avg. Annualized OT Pay</w:t>
            </w:r>
          </w:p>
        </w:tc>
      </w:tr>
      <w:tr w:rsidR="00647E2E" w:rsidRPr="00647E2E" w14:paraId="61A37D41" w14:textId="77777777" w:rsidTr="00647E2E">
        <w:trPr>
          <w:trHeight w:val="44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641255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100-230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20024B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04F905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3,055,201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D225BB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       4,073,602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FE6CDF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       94,735 </w:t>
            </w:r>
          </w:p>
        </w:tc>
      </w:tr>
      <w:tr w:rsidR="00647E2E" w:rsidRPr="00647E2E" w14:paraId="22D9B61F" w14:textId="77777777" w:rsidTr="00647E2E">
        <w:trPr>
          <w:trHeight w:val="53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090313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80-99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C7CF49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680620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1,862,964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BFD4F6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       2,483,952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59CB51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       65,367 </w:t>
            </w:r>
          </w:p>
        </w:tc>
      </w:tr>
      <w:tr w:rsidR="00647E2E" w:rsidRPr="00647E2E" w14:paraId="6B4BD1DF" w14:textId="77777777" w:rsidTr="00647E2E">
        <w:trPr>
          <w:trHeight w:val="51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2C98FC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70-79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5A73A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1D584D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1,264,140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D1621C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       1,685,521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AD8173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E2E">
              <w:rPr>
                <w:rFonts w:ascii="Calibri" w:eastAsia="Times New Roman" w:hAnsi="Calibri" w:cs="Calibri"/>
                <w:color w:val="000000"/>
              </w:rPr>
              <w:t xml:space="preserve"> $              44,356 </w:t>
            </w:r>
          </w:p>
        </w:tc>
      </w:tr>
      <w:tr w:rsidR="00647E2E" w:rsidRPr="00647E2E" w14:paraId="3F1B37D6" w14:textId="77777777" w:rsidTr="00647E2E">
        <w:trPr>
          <w:trHeight w:val="45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BF4196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43EECA" w14:textId="77777777" w:rsidR="00647E2E" w:rsidRPr="00647E2E" w:rsidRDefault="00647E2E" w:rsidP="0064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2C5FF4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6,182,306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69B955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8,243,074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7CA5D" w14:textId="77777777" w:rsidR="00647E2E" w:rsidRPr="00647E2E" w:rsidRDefault="00647E2E" w:rsidP="0064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7E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69,270 </w:t>
            </w:r>
          </w:p>
        </w:tc>
      </w:tr>
    </w:tbl>
    <w:p w14:paraId="15210927" w14:textId="77777777" w:rsidR="00647E2E" w:rsidRPr="00647E2E" w:rsidRDefault="00647E2E" w:rsidP="00647E2E">
      <w:pPr>
        <w:spacing w:after="0"/>
        <w:rPr>
          <w:b/>
          <w:sz w:val="28"/>
        </w:rPr>
      </w:pPr>
    </w:p>
    <w:p w14:paraId="658E2E30" w14:textId="77777777" w:rsidR="00290D44" w:rsidRDefault="00290D44" w:rsidP="00ED7022">
      <w:pPr>
        <w:pStyle w:val="ListParagraph"/>
      </w:pPr>
    </w:p>
    <w:p w14:paraId="3EE40C74" w14:textId="0FFEB7FB" w:rsidR="00683BB1" w:rsidRDefault="00ED7022" w:rsidP="00ED7022">
      <w:pPr>
        <w:pStyle w:val="ListParagraph"/>
      </w:pPr>
      <w:r>
        <w:t>*</w:t>
      </w:r>
      <w:r w:rsidR="000003B0">
        <w:t xml:space="preserve">* </w:t>
      </w:r>
      <w:r w:rsidR="003417A1">
        <w:t>O</w:t>
      </w:r>
      <w:r w:rsidR="00B1484F">
        <w:t xml:space="preserve">vertime hours worked is not </w:t>
      </w:r>
      <w:r w:rsidR="003417A1">
        <w:t>included</w:t>
      </w:r>
      <w:r w:rsidR="00B1484F">
        <w:t xml:space="preserve"> in the Comptroller’s database</w:t>
      </w:r>
      <w:r w:rsidR="003417A1">
        <w:t xml:space="preserve">, </w:t>
      </w:r>
      <w:r w:rsidR="00B1484F">
        <w:t xml:space="preserve">therefore </w:t>
      </w:r>
      <w:r w:rsidR="003417A1">
        <w:t xml:space="preserve">hours of OT in the table above </w:t>
      </w:r>
      <w:r w:rsidR="007D6FF7">
        <w:t xml:space="preserve">were </w:t>
      </w:r>
      <w:r w:rsidR="00E6511D">
        <w:t>estimated</w:t>
      </w:r>
      <w:r w:rsidR="00E65E3C">
        <w:t xml:space="preserve"> based on</w:t>
      </w:r>
      <w:r w:rsidR="00B1484F">
        <w:t>:</w:t>
      </w:r>
      <w:r w:rsidR="0059585F">
        <w:t xml:space="preserve"> </w:t>
      </w:r>
      <w:r w:rsidR="00B1484F">
        <w:t xml:space="preserve"> </w:t>
      </w:r>
    </w:p>
    <w:p w14:paraId="54AAAFDB" w14:textId="77777777" w:rsidR="00683BB1" w:rsidRDefault="001A28FD" w:rsidP="00B8674A">
      <w:pPr>
        <w:pStyle w:val="ListParagraph"/>
        <w:numPr>
          <w:ilvl w:val="1"/>
          <w:numId w:val="40"/>
        </w:numPr>
        <w:ind w:left="1080"/>
      </w:pPr>
      <w:r>
        <w:t>OT</w:t>
      </w:r>
      <w:r w:rsidR="00B1484F">
        <w:t xml:space="preserve"> pay accrued (</w:t>
      </w:r>
      <w:r w:rsidR="0059585F">
        <w:t>thru</w:t>
      </w:r>
      <w:r w:rsidR="00B1484F">
        <w:t xml:space="preserve"> Sept.</w:t>
      </w:r>
      <w:r w:rsidR="0059585F">
        <w:t xml:space="preserve"> 2019</w:t>
      </w:r>
      <w:r w:rsidR="00B1484F">
        <w:t xml:space="preserve">) and </w:t>
      </w:r>
    </w:p>
    <w:p w14:paraId="52D263A1" w14:textId="66C14DD9" w:rsidR="00683BB1" w:rsidRDefault="00B1484F" w:rsidP="00B8674A">
      <w:pPr>
        <w:pStyle w:val="ListParagraph"/>
        <w:numPr>
          <w:ilvl w:val="1"/>
          <w:numId w:val="40"/>
        </w:numPr>
        <w:ind w:left="1080"/>
      </w:pPr>
      <w:r>
        <w:t xml:space="preserve">the </w:t>
      </w:r>
      <w:r w:rsidR="00E434F9">
        <w:t xml:space="preserve">CO’s </w:t>
      </w:r>
      <w:r>
        <w:t xml:space="preserve">annual </w:t>
      </w:r>
      <w:r w:rsidR="001471B5">
        <w:t xml:space="preserve">salary  </w:t>
      </w:r>
      <w:r w:rsidR="00E91C1D">
        <w:t>(</w:t>
      </w:r>
      <w:r w:rsidR="001471B5">
        <w:t>“pay rate”</w:t>
      </w:r>
      <w:r w:rsidR="00E91C1D">
        <w:t>)</w:t>
      </w:r>
      <w:r w:rsidR="00E434F9">
        <w:t xml:space="preserve">, assuming </w:t>
      </w:r>
      <w:r w:rsidR="00E91C1D">
        <w:t>it</w:t>
      </w:r>
      <w:r w:rsidR="00E65E3C">
        <w:t xml:space="preserve"> is for a </w:t>
      </w:r>
      <w:r w:rsidR="00E434F9">
        <w:t>40 hour work week</w:t>
      </w:r>
    </w:p>
    <w:p w14:paraId="77E366A2" w14:textId="5AE7A640" w:rsidR="00ED7022" w:rsidRDefault="00683BB1" w:rsidP="00B8674A">
      <w:pPr>
        <w:pStyle w:val="ListParagraph"/>
        <w:numPr>
          <w:ilvl w:val="1"/>
          <w:numId w:val="40"/>
        </w:numPr>
        <w:ind w:left="1080"/>
      </w:pPr>
      <w:r>
        <w:t>t</w:t>
      </w:r>
      <w:r w:rsidR="0059585F">
        <w:t xml:space="preserve">he </w:t>
      </w:r>
      <w:r w:rsidR="001A28FD">
        <w:t xml:space="preserve">OT </w:t>
      </w:r>
      <w:r w:rsidR="0059585F">
        <w:t>hourly rate is estimated using the st</w:t>
      </w:r>
      <w:r w:rsidR="00E434F9">
        <w:t>andard 1.5 overtime bump-up</w:t>
      </w:r>
      <w:r w:rsidR="0059585F">
        <w:t>.</w:t>
      </w:r>
      <w:r w:rsidR="00B1484F">
        <w:t xml:space="preserve">  </w:t>
      </w:r>
    </w:p>
    <w:p w14:paraId="623E4E64" w14:textId="0B522EF1" w:rsidR="00E65E3C" w:rsidRDefault="00E65E3C" w:rsidP="00B8674A">
      <w:pPr>
        <w:pStyle w:val="ListParagraph"/>
        <w:numPr>
          <w:ilvl w:val="1"/>
          <w:numId w:val="40"/>
        </w:numPr>
        <w:ind w:left="1080"/>
      </w:pPr>
      <w:r>
        <w:t>Calculation:</w:t>
      </w:r>
    </w:p>
    <w:p w14:paraId="43F215CB" w14:textId="3BB45505" w:rsidR="00FF2044" w:rsidRDefault="00ED7022" w:rsidP="008E37E4">
      <w:pPr>
        <w:pStyle w:val="ListParagraph"/>
        <w:ind w:left="1710" w:hanging="630"/>
      </w:pPr>
      <w:r>
        <w:t>S</w:t>
      </w:r>
      <w:r w:rsidR="00FF2044">
        <w:t xml:space="preserve">tep </w:t>
      </w:r>
      <w:r>
        <w:t xml:space="preserve">1: </w:t>
      </w:r>
      <w:r w:rsidR="00AB1D93" w:rsidRPr="00B8674A">
        <w:rPr>
          <w:u w:val="single"/>
        </w:rPr>
        <w:t>estimate</w:t>
      </w:r>
      <w:r w:rsidRPr="00B8674A">
        <w:rPr>
          <w:u w:val="single"/>
        </w:rPr>
        <w:t xml:space="preserve"> OT hourly pay rate</w:t>
      </w:r>
      <w:r w:rsidR="00E27DE8">
        <w:rPr>
          <w:b/>
        </w:rPr>
        <w:t xml:space="preserve">:  </w:t>
      </w:r>
      <w:r w:rsidR="00FF2044">
        <w:t xml:space="preserve">annual </w:t>
      </w:r>
      <w:r w:rsidR="008D1C34">
        <w:t>salary</w:t>
      </w:r>
      <w:r w:rsidR="00FF2044">
        <w:t xml:space="preserve"> / (52weeks * 40 hours *1.5)</w:t>
      </w:r>
    </w:p>
    <w:p w14:paraId="1EE5316F" w14:textId="102E6DEC" w:rsidR="00ED7022" w:rsidRDefault="00FF2044" w:rsidP="008E37E4">
      <w:pPr>
        <w:pStyle w:val="ListParagraph"/>
        <w:ind w:left="1080"/>
      </w:pPr>
      <w:r>
        <w:t xml:space="preserve">Step 2: </w:t>
      </w:r>
      <w:r w:rsidR="00ED7022">
        <w:t xml:space="preserve"> </w:t>
      </w:r>
      <w:r w:rsidR="000003B0" w:rsidRPr="00B8674A">
        <w:rPr>
          <w:u w:val="single"/>
        </w:rPr>
        <w:t>estimate</w:t>
      </w:r>
      <w:r w:rsidR="008D1C34">
        <w:rPr>
          <w:u w:val="single"/>
        </w:rPr>
        <w:t>d</w:t>
      </w:r>
      <w:r w:rsidR="00E27DE8" w:rsidRPr="00B8674A">
        <w:rPr>
          <w:u w:val="single"/>
        </w:rPr>
        <w:t xml:space="preserve"> monthly overtime worked</w:t>
      </w:r>
      <w:r w:rsidR="00E27DE8">
        <w:rPr>
          <w:b/>
        </w:rPr>
        <w:t xml:space="preserve">: </w:t>
      </w:r>
      <w:r w:rsidR="002D7D9F">
        <w:rPr>
          <w:b/>
        </w:rPr>
        <w:t>(</w:t>
      </w:r>
      <w:r w:rsidR="00125313">
        <w:t>overtime pay</w:t>
      </w:r>
      <w:r w:rsidR="00AB1ABF">
        <w:t xml:space="preserve"> / OT hourly pay rate from step 1</w:t>
      </w:r>
      <w:r w:rsidR="002D7D9F">
        <w:t>) / 9</w:t>
      </w:r>
    </w:p>
    <w:p w14:paraId="15D12433" w14:textId="77777777" w:rsidR="00AB1ABF" w:rsidRDefault="00AB1ABF" w:rsidP="00AB1ABF">
      <w:pPr>
        <w:pStyle w:val="ListParagraph"/>
        <w:pBdr>
          <w:bottom w:val="single" w:sz="4" w:space="1" w:color="auto"/>
        </w:pBdr>
      </w:pPr>
    </w:p>
    <w:sectPr w:rsidR="00AB1ABF" w:rsidSect="0085017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338A2" w14:textId="77777777" w:rsidR="00FA4D27" w:rsidRDefault="00FA4D27" w:rsidP="00AF6851">
      <w:pPr>
        <w:spacing w:after="0" w:line="240" w:lineRule="auto"/>
      </w:pPr>
      <w:r>
        <w:separator/>
      </w:r>
    </w:p>
  </w:endnote>
  <w:endnote w:type="continuationSeparator" w:id="0">
    <w:p w14:paraId="7F780DF9" w14:textId="77777777" w:rsidR="00FA4D27" w:rsidRDefault="00FA4D27" w:rsidP="00A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16BE" w14:textId="5629E890" w:rsidR="00B12BA9" w:rsidRPr="00B12BA9" w:rsidRDefault="00B12BA9" w:rsidP="00A606F5">
    <w:pPr>
      <w:tabs>
        <w:tab w:val="left" w:pos="7740"/>
        <w:tab w:val="left" w:pos="8190"/>
        <w:tab w:val="left" w:pos="8460"/>
        <w:tab w:val="left" w:pos="8820"/>
      </w:tabs>
      <w:rPr>
        <w:sz w:val="18"/>
        <w:szCs w:val="18"/>
      </w:rPr>
    </w:pPr>
    <w:r w:rsidRPr="00B12BA9">
      <w:rPr>
        <w:sz w:val="18"/>
        <w:szCs w:val="18"/>
      </w:rPr>
      <w:t>Freda Flammer,</w:t>
    </w:r>
    <w:r w:rsidR="00DB4028">
      <w:rPr>
        <w:sz w:val="18"/>
        <w:szCs w:val="18"/>
      </w:rPr>
      <w:t xml:space="preserve"> M.Phil. Economics, </w:t>
    </w:r>
    <w:r w:rsidRPr="00B12BA9">
      <w:rPr>
        <w:sz w:val="18"/>
        <w:szCs w:val="18"/>
      </w:rPr>
      <w:t xml:space="preserve"> </w:t>
    </w:r>
    <w:hyperlink r:id="rId1" w:history="1">
      <w:r w:rsidR="00A606F5" w:rsidRPr="00EE2607">
        <w:rPr>
          <w:rStyle w:val="Hyperlink"/>
          <w:sz w:val="18"/>
          <w:szCs w:val="18"/>
        </w:rPr>
        <w:t>fflammer@yahoo.com</w:t>
      </w:r>
    </w:hyperlink>
    <w:r w:rsidR="00A606F5">
      <w:rPr>
        <w:sz w:val="18"/>
        <w:szCs w:val="18"/>
      </w:rPr>
      <w:t xml:space="preserve"> </w:t>
    </w:r>
    <w:r w:rsidR="00C97D88">
      <w:rPr>
        <w:sz w:val="18"/>
        <w:szCs w:val="18"/>
      </w:rPr>
      <w:t xml:space="preserve">  </w:t>
    </w:r>
    <w:r w:rsidR="00A606F5">
      <w:rPr>
        <w:sz w:val="18"/>
        <w:szCs w:val="18"/>
      </w:rPr>
      <w:t xml:space="preserve"> </w:t>
    </w:r>
    <w:r w:rsidR="00A606F5" w:rsidRPr="00A606F5">
      <w:rPr>
        <w:b/>
        <w:sz w:val="18"/>
        <w:szCs w:val="18"/>
      </w:rPr>
      <w:t>(</w:t>
    </w:r>
    <w:r w:rsidR="00A606F5" w:rsidRPr="00A606F5">
      <w:rPr>
        <w:sz w:val="18"/>
        <w:szCs w:val="18"/>
      </w:rPr>
      <w:t>Data Source: CTHRU, Mass. Comptrollers Commonwealth’s Financial Records Transparency Platform, 9/30/2019 and FOIA request regarding contracted staff)</w:t>
    </w:r>
    <w:r w:rsidR="00A606F5" w:rsidRPr="00B12BA9">
      <w:rPr>
        <w:sz w:val="18"/>
        <w:szCs w:val="18"/>
      </w:rPr>
      <w:t xml:space="preserve"> </w:t>
    </w:r>
  </w:p>
  <w:p w14:paraId="59A8F2BF" w14:textId="77777777" w:rsidR="00AF6851" w:rsidRDefault="00AF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1623" w14:textId="77777777" w:rsidR="00FA4D27" w:rsidRDefault="00FA4D27" w:rsidP="00AF6851">
      <w:pPr>
        <w:spacing w:after="0" w:line="240" w:lineRule="auto"/>
      </w:pPr>
      <w:r>
        <w:separator/>
      </w:r>
    </w:p>
  </w:footnote>
  <w:footnote w:type="continuationSeparator" w:id="0">
    <w:p w14:paraId="5B94ECAB" w14:textId="77777777" w:rsidR="00FA4D27" w:rsidRDefault="00FA4D27" w:rsidP="00A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5CD"/>
    <w:multiLevelType w:val="hybridMultilevel"/>
    <w:tmpl w:val="4AB8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DB8"/>
    <w:multiLevelType w:val="hybridMultilevel"/>
    <w:tmpl w:val="34FC0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97F"/>
    <w:multiLevelType w:val="hybridMultilevel"/>
    <w:tmpl w:val="E9A04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A7E"/>
    <w:multiLevelType w:val="hybridMultilevel"/>
    <w:tmpl w:val="F3ACA8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230FB"/>
    <w:multiLevelType w:val="hybridMultilevel"/>
    <w:tmpl w:val="9D2C2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E5EFD"/>
    <w:multiLevelType w:val="hybridMultilevel"/>
    <w:tmpl w:val="CD98EA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B4ABE"/>
    <w:multiLevelType w:val="hybridMultilevel"/>
    <w:tmpl w:val="CFC45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855C3"/>
    <w:multiLevelType w:val="hybridMultilevel"/>
    <w:tmpl w:val="FDA42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83D4F"/>
    <w:multiLevelType w:val="hybridMultilevel"/>
    <w:tmpl w:val="8542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41460"/>
    <w:multiLevelType w:val="hybridMultilevel"/>
    <w:tmpl w:val="CB10A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426B0"/>
    <w:multiLevelType w:val="hybridMultilevel"/>
    <w:tmpl w:val="CB8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8D2"/>
    <w:multiLevelType w:val="hybridMultilevel"/>
    <w:tmpl w:val="2EE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25D2"/>
    <w:multiLevelType w:val="hybridMultilevel"/>
    <w:tmpl w:val="30220C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0209E"/>
    <w:multiLevelType w:val="hybridMultilevel"/>
    <w:tmpl w:val="FD4032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357E1"/>
    <w:multiLevelType w:val="hybridMultilevel"/>
    <w:tmpl w:val="150004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00829"/>
    <w:multiLevelType w:val="hybridMultilevel"/>
    <w:tmpl w:val="81E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26D"/>
    <w:multiLevelType w:val="hybridMultilevel"/>
    <w:tmpl w:val="8E1C6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B0011"/>
    <w:multiLevelType w:val="hybridMultilevel"/>
    <w:tmpl w:val="37205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13EB3"/>
    <w:multiLevelType w:val="hybridMultilevel"/>
    <w:tmpl w:val="55224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6843"/>
    <w:multiLevelType w:val="hybridMultilevel"/>
    <w:tmpl w:val="FFCA8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71C1E"/>
    <w:multiLevelType w:val="hybridMultilevel"/>
    <w:tmpl w:val="A10C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CB8"/>
    <w:multiLevelType w:val="hybridMultilevel"/>
    <w:tmpl w:val="F5902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F195E"/>
    <w:multiLevelType w:val="hybridMultilevel"/>
    <w:tmpl w:val="D884EB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205F1"/>
    <w:multiLevelType w:val="hybridMultilevel"/>
    <w:tmpl w:val="1CD0B3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53832"/>
    <w:multiLevelType w:val="hybridMultilevel"/>
    <w:tmpl w:val="0AB8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97ACE"/>
    <w:multiLevelType w:val="hybridMultilevel"/>
    <w:tmpl w:val="035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F6D22"/>
    <w:multiLevelType w:val="hybridMultilevel"/>
    <w:tmpl w:val="13A60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C0E4D"/>
    <w:multiLevelType w:val="hybridMultilevel"/>
    <w:tmpl w:val="BDF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504"/>
    <w:multiLevelType w:val="hybridMultilevel"/>
    <w:tmpl w:val="6756E2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30B07"/>
    <w:multiLevelType w:val="hybridMultilevel"/>
    <w:tmpl w:val="99E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2172"/>
    <w:multiLevelType w:val="hybridMultilevel"/>
    <w:tmpl w:val="90E89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941A56"/>
    <w:multiLevelType w:val="hybridMultilevel"/>
    <w:tmpl w:val="908CE4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911"/>
    <w:multiLevelType w:val="hybridMultilevel"/>
    <w:tmpl w:val="AD308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94C48"/>
    <w:multiLevelType w:val="hybridMultilevel"/>
    <w:tmpl w:val="6AE4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9666A"/>
    <w:multiLevelType w:val="hybridMultilevel"/>
    <w:tmpl w:val="6FBACA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62703E6"/>
    <w:multiLevelType w:val="hybridMultilevel"/>
    <w:tmpl w:val="BE3817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D31A7"/>
    <w:multiLevelType w:val="hybridMultilevel"/>
    <w:tmpl w:val="332220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409C1"/>
    <w:multiLevelType w:val="hybridMultilevel"/>
    <w:tmpl w:val="BFB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971ED"/>
    <w:multiLevelType w:val="hybridMultilevel"/>
    <w:tmpl w:val="D54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51948"/>
    <w:multiLevelType w:val="hybridMultilevel"/>
    <w:tmpl w:val="2F60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8"/>
  </w:num>
  <w:num w:numId="4">
    <w:abstractNumId w:val="3"/>
  </w:num>
  <w:num w:numId="5">
    <w:abstractNumId w:val="6"/>
  </w:num>
  <w:num w:numId="6">
    <w:abstractNumId w:val="35"/>
  </w:num>
  <w:num w:numId="7">
    <w:abstractNumId w:val="26"/>
  </w:num>
  <w:num w:numId="8">
    <w:abstractNumId w:val="37"/>
  </w:num>
  <w:num w:numId="9">
    <w:abstractNumId w:val="7"/>
  </w:num>
  <w:num w:numId="10">
    <w:abstractNumId w:val="12"/>
  </w:num>
  <w:num w:numId="11">
    <w:abstractNumId w:val="28"/>
  </w:num>
  <w:num w:numId="12">
    <w:abstractNumId w:val="33"/>
  </w:num>
  <w:num w:numId="13">
    <w:abstractNumId w:val="22"/>
  </w:num>
  <w:num w:numId="14">
    <w:abstractNumId w:val="34"/>
  </w:num>
  <w:num w:numId="15">
    <w:abstractNumId w:val="31"/>
  </w:num>
  <w:num w:numId="16">
    <w:abstractNumId w:val="30"/>
  </w:num>
  <w:num w:numId="17">
    <w:abstractNumId w:val="25"/>
  </w:num>
  <w:num w:numId="18">
    <w:abstractNumId w:val="15"/>
  </w:num>
  <w:num w:numId="19">
    <w:abstractNumId w:val="27"/>
  </w:num>
  <w:num w:numId="20">
    <w:abstractNumId w:val="16"/>
  </w:num>
  <w:num w:numId="21">
    <w:abstractNumId w:val="9"/>
  </w:num>
  <w:num w:numId="22">
    <w:abstractNumId w:val="13"/>
  </w:num>
  <w:num w:numId="23">
    <w:abstractNumId w:val="18"/>
  </w:num>
  <w:num w:numId="24">
    <w:abstractNumId w:val="2"/>
  </w:num>
  <w:num w:numId="25">
    <w:abstractNumId w:val="39"/>
  </w:num>
  <w:num w:numId="26">
    <w:abstractNumId w:val="10"/>
  </w:num>
  <w:num w:numId="27">
    <w:abstractNumId w:val="17"/>
  </w:num>
  <w:num w:numId="28">
    <w:abstractNumId w:val="5"/>
  </w:num>
  <w:num w:numId="29">
    <w:abstractNumId w:val="8"/>
  </w:num>
  <w:num w:numId="30">
    <w:abstractNumId w:val="23"/>
  </w:num>
  <w:num w:numId="31">
    <w:abstractNumId w:val="14"/>
  </w:num>
  <w:num w:numId="32">
    <w:abstractNumId w:val="36"/>
  </w:num>
  <w:num w:numId="33">
    <w:abstractNumId w:val="0"/>
  </w:num>
  <w:num w:numId="34">
    <w:abstractNumId w:val="11"/>
  </w:num>
  <w:num w:numId="35">
    <w:abstractNumId w:val="4"/>
  </w:num>
  <w:num w:numId="36">
    <w:abstractNumId w:val="24"/>
  </w:num>
  <w:num w:numId="37">
    <w:abstractNumId w:val="20"/>
  </w:num>
  <w:num w:numId="38">
    <w:abstractNumId w:val="1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C"/>
    <w:rsid w:val="000003B0"/>
    <w:rsid w:val="000014B2"/>
    <w:rsid w:val="00005D65"/>
    <w:rsid w:val="000116AB"/>
    <w:rsid w:val="00015634"/>
    <w:rsid w:val="00016970"/>
    <w:rsid w:val="00020B3F"/>
    <w:rsid w:val="00025DCF"/>
    <w:rsid w:val="000314BA"/>
    <w:rsid w:val="00033B13"/>
    <w:rsid w:val="00035022"/>
    <w:rsid w:val="000377F2"/>
    <w:rsid w:val="00041CC3"/>
    <w:rsid w:val="00043EE3"/>
    <w:rsid w:val="000464E6"/>
    <w:rsid w:val="000516CE"/>
    <w:rsid w:val="000576AE"/>
    <w:rsid w:val="000622AC"/>
    <w:rsid w:val="00063AE6"/>
    <w:rsid w:val="000670E2"/>
    <w:rsid w:val="000674D7"/>
    <w:rsid w:val="00076C48"/>
    <w:rsid w:val="0007745D"/>
    <w:rsid w:val="00081383"/>
    <w:rsid w:val="00084F96"/>
    <w:rsid w:val="00086E21"/>
    <w:rsid w:val="0008709F"/>
    <w:rsid w:val="00090E33"/>
    <w:rsid w:val="000A7C40"/>
    <w:rsid w:val="000A7E55"/>
    <w:rsid w:val="000B0FE8"/>
    <w:rsid w:val="000B21D8"/>
    <w:rsid w:val="000B391E"/>
    <w:rsid w:val="000B4AB3"/>
    <w:rsid w:val="000B67FA"/>
    <w:rsid w:val="000B6B54"/>
    <w:rsid w:val="000C3E3D"/>
    <w:rsid w:val="000C702C"/>
    <w:rsid w:val="000D3E3D"/>
    <w:rsid w:val="000D78E7"/>
    <w:rsid w:val="000E5490"/>
    <w:rsid w:val="000E77EA"/>
    <w:rsid w:val="000F32FC"/>
    <w:rsid w:val="000F4AEA"/>
    <w:rsid w:val="000F5932"/>
    <w:rsid w:val="000F5C95"/>
    <w:rsid w:val="00101453"/>
    <w:rsid w:val="0010339E"/>
    <w:rsid w:val="001149C0"/>
    <w:rsid w:val="00117A62"/>
    <w:rsid w:val="00125313"/>
    <w:rsid w:val="001264CF"/>
    <w:rsid w:val="00136674"/>
    <w:rsid w:val="00141B27"/>
    <w:rsid w:val="00141D5E"/>
    <w:rsid w:val="001465B9"/>
    <w:rsid w:val="00146DFE"/>
    <w:rsid w:val="001471B5"/>
    <w:rsid w:val="00150900"/>
    <w:rsid w:val="0015238C"/>
    <w:rsid w:val="00152A82"/>
    <w:rsid w:val="00154A7C"/>
    <w:rsid w:val="00163245"/>
    <w:rsid w:val="00165A41"/>
    <w:rsid w:val="001704D6"/>
    <w:rsid w:val="001711C0"/>
    <w:rsid w:val="00171ED4"/>
    <w:rsid w:val="00172B42"/>
    <w:rsid w:val="00177DED"/>
    <w:rsid w:val="00184B00"/>
    <w:rsid w:val="0018720D"/>
    <w:rsid w:val="0019305C"/>
    <w:rsid w:val="00194C9F"/>
    <w:rsid w:val="001A28FD"/>
    <w:rsid w:val="001A4FBC"/>
    <w:rsid w:val="001A5631"/>
    <w:rsid w:val="001C1F2F"/>
    <w:rsid w:val="001C5A50"/>
    <w:rsid w:val="001D0100"/>
    <w:rsid w:val="001D2ABC"/>
    <w:rsid w:val="001D427F"/>
    <w:rsid w:val="001D49D3"/>
    <w:rsid w:val="001E274B"/>
    <w:rsid w:val="001F4E69"/>
    <w:rsid w:val="001F564D"/>
    <w:rsid w:val="001F7E04"/>
    <w:rsid w:val="00204549"/>
    <w:rsid w:val="002124B4"/>
    <w:rsid w:val="00217CE4"/>
    <w:rsid w:val="00220EC7"/>
    <w:rsid w:val="0022168F"/>
    <w:rsid w:val="00222525"/>
    <w:rsid w:val="00223ED3"/>
    <w:rsid w:val="002256F1"/>
    <w:rsid w:val="00230DC6"/>
    <w:rsid w:val="00234A2A"/>
    <w:rsid w:val="00234B36"/>
    <w:rsid w:val="002363FF"/>
    <w:rsid w:val="00240F77"/>
    <w:rsid w:val="00241D39"/>
    <w:rsid w:val="00246DCD"/>
    <w:rsid w:val="002513BA"/>
    <w:rsid w:val="002614B1"/>
    <w:rsid w:val="0026259A"/>
    <w:rsid w:val="002627EE"/>
    <w:rsid w:val="00263927"/>
    <w:rsid w:val="0027008C"/>
    <w:rsid w:val="00271017"/>
    <w:rsid w:val="00275BFC"/>
    <w:rsid w:val="00280959"/>
    <w:rsid w:val="00290D44"/>
    <w:rsid w:val="00293CA2"/>
    <w:rsid w:val="002B11BD"/>
    <w:rsid w:val="002C0973"/>
    <w:rsid w:val="002C2C77"/>
    <w:rsid w:val="002D3E34"/>
    <w:rsid w:val="002D4657"/>
    <w:rsid w:val="002D7D9F"/>
    <w:rsid w:val="002E30ED"/>
    <w:rsid w:val="002E60F7"/>
    <w:rsid w:val="002F204D"/>
    <w:rsid w:val="002F59BE"/>
    <w:rsid w:val="002F7A80"/>
    <w:rsid w:val="0030186D"/>
    <w:rsid w:val="00302266"/>
    <w:rsid w:val="00304887"/>
    <w:rsid w:val="00307A6E"/>
    <w:rsid w:val="003157AB"/>
    <w:rsid w:val="00326C90"/>
    <w:rsid w:val="00327AB4"/>
    <w:rsid w:val="0033470C"/>
    <w:rsid w:val="003371BE"/>
    <w:rsid w:val="00337E1B"/>
    <w:rsid w:val="003417A1"/>
    <w:rsid w:val="00347622"/>
    <w:rsid w:val="003500F5"/>
    <w:rsid w:val="00360BFD"/>
    <w:rsid w:val="00362C8B"/>
    <w:rsid w:val="00365CF4"/>
    <w:rsid w:val="003675BF"/>
    <w:rsid w:val="003727FA"/>
    <w:rsid w:val="00373575"/>
    <w:rsid w:val="00383E79"/>
    <w:rsid w:val="00384ADB"/>
    <w:rsid w:val="00385910"/>
    <w:rsid w:val="003861F0"/>
    <w:rsid w:val="00390571"/>
    <w:rsid w:val="00392B13"/>
    <w:rsid w:val="00392BFC"/>
    <w:rsid w:val="003B3823"/>
    <w:rsid w:val="003B39B5"/>
    <w:rsid w:val="003B644C"/>
    <w:rsid w:val="003B6761"/>
    <w:rsid w:val="003C5189"/>
    <w:rsid w:val="003C72FE"/>
    <w:rsid w:val="003D3B86"/>
    <w:rsid w:val="003D3C29"/>
    <w:rsid w:val="003D496A"/>
    <w:rsid w:val="003D74BC"/>
    <w:rsid w:val="003E1717"/>
    <w:rsid w:val="003F7428"/>
    <w:rsid w:val="004073DE"/>
    <w:rsid w:val="00407983"/>
    <w:rsid w:val="00413CAB"/>
    <w:rsid w:val="00416043"/>
    <w:rsid w:val="004204B0"/>
    <w:rsid w:val="00421017"/>
    <w:rsid w:val="00421F92"/>
    <w:rsid w:val="00424A85"/>
    <w:rsid w:val="004432F4"/>
    <w:rsid w:val="0044343C"/>
    <w:rsid w:val="00443B38"/>
    <w:rsid w:val="00445336"/>
    <w:rsid w:val="0046325E"/>
    <w:rsid w:val="004640A9"/>
    <w:rsid w:val="00467937"/>
    <w:rsid w:val="00471E09"/>
    <w:rsid w:val="00476CBB"/>
    <w:rsid w:val="00477431"/>
    <w:rsid w:val="004803E9"/>
    <w:rsid w:val="0048271A"/>
    <w:rsid w:val="00494108"/>
    <w:rsid w:val="00494BC4"/>
    <w:rsid w:val="0049792A"/>
    <w:rsid w:val="004A15C4"/>
    <w:rsid w:val="004A185B"/>
    <w:rsid w:val="004A1C28"/>
    <w:rsid w:val="004B4C05"/>
    <w:rsid w:val="004C0B62"/>
    <w:rsid w:val="004C2927"/>
    <w:rsid w:val="004D4E42"/>
    <w:rsid w:val="004E77E4"/>
    <w:rsid w:val="004F1C7D"/>
    <w:rsid w:val="004F508A"/>
    <w:rsid w:val="005007D5"/>
    <w:rsid w:val="005026C0"/>
    <w:rsid w:val="00503CB2"/>
    <w:rsid w:val="00510040"/>
    <w:rsid w:val="00510EA7"/>
    <w:rsid w:val="0051180E"/>
    <w:rsid w:val="00511A8B"/>
    <w:rsid w:val="005126C1"/>
    <w:rsid w:val="00516B2C"/>
    <w:rsid w:val="0052020E"/>
    <w:rsid w:val="005259D4"/>
    <w:rsid w:val="00526726"/>
    <w:rsid w:val="005322FA"/>
    <w:rsid w:val="00532566"/>
    <w:rsid w:val="005334D5"/>
    <w:rsid w:val="00537BFD"/>
    <w:rsid w:val="00542406"/>
    <w:rsid w:val="005446AD"/>
    <w:rsid w:val="00544779"/>
    <w:rsid w:val="00546958"/>
    <w:rsid w:val="00546969"/>
    <w:rsid w:val="0055076F"/>
    <w:rsid w:val="00554E82"/>
    <w:rsid w:val="00556584"/>
    <w:rsid w:val="0056266E"/>
    <w:rsid w:val="0057175E"/>
    <w:rsid w:val="00571857"/>
    <w:rsid w:val="00571FD4"/>
    <w:rsid w:val="005819F9"/>
    <w:rsid w:val="00584FDB"/>
    <w:rsid w:val="0058566D"/>
    <w:rsid w:val="00586116"/>
    <w:rsid w:val="005871C8"/>
    <w:rsid w:val="00594CE3"/>
    <w:rsid w:val="0059585F"/>
    <w:rsid w:val="005A49E6"/>
    <w:rsid w:val="005B74F3"/>
    <w:rsid w:val="005C58CB"/>
    <w:rsid w:val="005D0152"/>
    <w:rsid w:val="005D4F5E"/>
    <w:rsid w:val="005D6479"/>
    <w:rsid w:val="005D6C77"/>
    <w:rsid w:val="005E302E"/>
    <w:rsid w:val="005E469B"/>
    <w:rsid w:val="005F15BF"/>
    <w:rsid w:val="005F4B3D"/>
    <w:rsid w:val="005F4E69"/>
    <w:rsid w:val="005F5584"/>
    <w:rsid w:val="006156F7"/>
    <w:rsid w:val="00615848"/>
    <w:rsid w:val="00623FCB"/>
    <w:rsid w:val="00624E61"/>
    <w:rsid w:val="0062549C"/>
    <w:rsid w:val="006263EB"/>
    <w:rsid w:val="00627282"/>
    <w:rsid w:val="00634076"/>
    <w:rsid w:val="00636AB7"/>
    <w:rsid w:val="00642A42"/>
    <w:rsid w:val="0064565C"/>
    <w:rsid w:val="00647E2E"/>
    <w:rsid w:val="0065239F"/>
    <w:rsid w:val="0065538E"/>
    <w:rsid w:val="00666BFF"/>
    <w:rsid w:val="00674393"/>
    <w:rsid w:val="00674E3C"/>
    <w:rsid w:val="0068320D"/>
    <w:rsid w:val="00683BB1"/>
    <w:rsid w:val="006840D1"/>
    <w:rsid w:val="00686414"/>
    <w:rsid w:val="00686CC6"/>
    <w:rsid w:val="00692E4C"/>
    <w:rsid w:val="0069485A"/>
    <w:rsid w:val="006956B8"/>
    <w:rsid w:val="006A21B6"/>
    <w:rsid w:val="006A7560"/>
    <w:rsid w:val="006A7CBE"/>
    <w:rsid w:val="006B4079"/>
    <w:rsid w:val="006B4D15"/>
    <w:rsid w:val="006B76A2"/>
    <w:rsid w:val="006C3D76"/>
    <w:rsid w:val="006C78D2"/>
    <w:rsid w:val="006D571B"/>
    <w:rsid w:val="006D7E54"/>
    <w:rsid w:val="006F0D99"/>
    <w:rsid w:val="006F61D1"/>
    <w:rsid w:val="006F6E6A"/>
    <w:rsid w:val="006F762E"/>
    <w:rsid w:val="00701FC2"/>
    <w:rsid w:val="00702607"/>
    <w:rsid w:val="007051C6"/>
    <w:rsid w:val="00706A86"/>
    <w:rsid w:val="0071333C"/>
    <w:rsid w:val="00713EA0"/>
    <w:rsid w:val="00716486"/>
    <w:rsid w:val="00721FF1"/>
    <w:rsid w:val="0073001C"/>
    <w:rsid w:val="0073031B"/>
    <w:rsid w:val="00731A81"/>
    <w:rsid w:val="007440F3"/>
    <w:rsid w:val="00744821"/>
    <w:rsid w:val="00746BB7"/>
    <w:rsid w:val="00746EEB"/>
    <w:rsid w:val="00752B8B"/>
    <w:rsid w:val="00753078"/>
    <w:rsid w:val="0075444A"/>
    <w:rsid w:val="00757088"/>
    <w:rsid w:val="0076000D"/>
    <w:rsid w:val="007663E3"/>
    <w:rsid w:val="00773300"/>
    <w:rsid w:val="00781C0D"/>
    <w:rsid w:val="0078404D"/>
    <w:rsid w:val="00786FCB"/>
    <w:rsid w:val="007920A4"/>
    <w:rsid w:val="00792AC3"/>
    <w:rsid w:val="00792C9E"/>
    <w:rsid w:val="00794ABD"/>
    <w:rsid w:val="007A3B9D"/>
    <w:rsid w:val="007B2A64"/>
    <w:rsid w:val="007B564A"/>
    <w:rsid w:val="007C27D7"/>
    <w:rsid w:val="007C3D94"/>
    <w:rsid w:val="007C4815"/>
    <w:rsid w:val="007D5192"/>
    <w:rsid w:val="007D5743"/>
    <w:rsid w:val="007D61B3"/>
    <w:rsid w:val="007D6E1D"/>
    <w:rsid w:val="007D6FF7"/>
    <w:rsid w:val="007E13FC"/>
    <w:rsid w:val="007E18D4"/>
    <w:rsid w:val="007E7731"/>
    <w:rsid w:val="008002E9"/>
    <w:rsid w:val="00800C93"/>
    <w:rsid w:val="00805B56"/>
    <w:rsid w:val="00807ABF"/>
    <w:rsid w:val="00813472"/>
    <w:rsid w:val="00821711"/>
    <w:rsid w:val="00827623"/>
    <w:rsid w:val="00827809"/>
    <w:rsid w:val="008345B9"/>
    <w:rsid w:val="00834E60"/>
    <w:rsid w:val="0085017E"/>
    <w:rsid w:val="00850257"/>
    <w:rsid w:val="00852CEA"/>
    <w:rsid w:val="008606EE"/>
    <w:rsid w:val="00865874"/>
    <w:rsid w:val="00865DE7"/>
    <w:rsid w:val="00871DF8"/>
    <w:rsid w:val="0087321D"/>
    <w:rsid w:val="00873A9C"/>
    <w:rsid w:val="0088290D"/>
    <w:rsid w:val="00884B59"/>
    <w:rsid w:val="008862F9"/>
    <w:rsid w:val="0089069B"/>
    <w:rsid w:val="008927C3"/>
    <w:rsid w:val="00895995"/>
    <w:rsid w:val="008A3007"/>
    <w:rsid w:val="008A5419"/>
    <w:rsid w:val="008A59CF"/>
    <w:rsid w:val="008B36A0"/>
    <w:rsid w:val="008B4D85"/>
    <w:rsid w:val="008B754A"/>
    <w:rsid w:val="008C0DA0"/>
    <w:rsid w:val="008C3EE2"/>
    <w:rsid w:val="008C5C57"/>
    <w:rsid w:val="008D1C34"/>
    <w:rsid w:val="008D1DB6"/>
    <w:rsid w:val="008D70ED"/>
    <w:rsid w:val="008E0D81"/>
    <w:rsid w:val="008E135F"/>
    <w:rsid w:val="008E37E4"/>
    <w:rsid w:val="008F296F"/>
    <w:rsid w:val="008F3EAB"/>
    <w:rsid w:val="00903107"/>
    <w:rsid w:val="0090355B"/>
    <w:rsid w:val="009055D7"/>
    <w:rsid w:val="00920336"/>
    <w:rsid w:val="009229E1"/>
    <w:rsid w:val="009260C7"/>
    <w:rsid w:val="009279EB"/>
    <w:rsid w:val="00931D91"/>
    <w:rsid w:val="00934379"/>
    <w:rsid w:val="00950496"/>
    <w:rsid w:val="00950EDB"/>
    <w:rsid w:val="00951F9A"/>
    <w:rsid w:val="0095680B"/>
    <w:rsid w:val="00963038"/>
    <w:rsid w:val="00965318"/>
    <w:rsid w:val="00971E83"/>
    <w:rsid w:val="009725C1"/>
    <w:rsid w:val="0097504B"/>
    <w:rsid w:val="00975558"/>
    <w:rsid w:val="009806EF"/>
    <w:rsid w:val="009811BA"/>
    <w:rsid w:val="00983CB0"/>
    <w:rsid w:val="00984017"/>
    <w:rsid w:val="009840A9"/>
    <w:rsid w:val="009865FA"/>
    <w:rsid w:val="00992E81"/>
    <w:rsid w:val="009937FE"/>
    <w:rsid w:val="00994278"/>
    <w:rsid w:val="00994DFB"/>
    <w:rsid w:val="009B103D"/>
    <w:rsid w:val="009B1735"/>
    <w:rsid w:val="009B61BA"/>
    <w:rsid w:val="009C124A"/>
    <w:rsid w:val="009C6000"/>
    <w:rsid w:val="009C710D"/>
    <w:rsid w:val="009C7FB7"/>
    <w:rsid w:val="009D01A2"/>
    <w:rsid w:val="009D4B78"/>
    <w:rsid w:val="009D7349"/>
    <w:rsid w:val="009E1C49"/>
    <w:rsid w:val="009E2063"/>
    <w:rsid w:val="009E2ECA"/>
    <w:rsid w:val="009E49B3"/>
    <w:rsid w:val="009E61E7"/>
    <w:rsid w:val="009F257E"/>
    <w:rsid w:val="009F54A5"/>
    <w:rsid w:val="009F76D5"/>
    <w:rsid w:val="00A026B8"/>
    <w:rsid w:val="00A04DB1"/>
    <w:rsid w:val="00A0615B"/>
    <w:rsid w:val="00A11A5D"/>
    <w:rsid w:val="00A11CF2"/>
    <w:rsid w:val="00A15947"/>
    <w:rsid w:val="00A16F2B"/>
    <w:rsid w:val="00A2173B"/>
    <w:rsid w:val="00A21944"/>
    <w:rsid w:val="00A22F2E"/>
    <w:rsid w:val="00A26F0A"/>
    <w:rsid w:val="00A300A5"/>
    <w:rsid w:val="00A352BB"/>
    <w:rsid w:val="00A36A9D"/>
    <w:rsid w:val="00A41BCD"/>
    <w:rsid w:val="00A432E4"/>
    <w:rsid w:val="00A471BD"/>
    <w:rsid w:val="00A56857"/>
    <w:rsid w:val="00A6029E"/>
    <w:rsid w:val="00A60554"/>
    <w:rsid w:val="00A606F5"/>
    <w:rsid w:val="00A626E0"/>
    <w:rsid w:val="00A63893"/>
    <w:rsid w:val="00A64713"/>
    <w:rsid w:val="00A73198"/>
    <w:rsid w:val="00A74D1B"/>
    <w:rsid w:val="00A755BE"/>
    <w:rsid w:val="00A8313E"/>
    <w:rsid w:val="00A91926"/>
    <w:rsid w:val="00A97D04"/>
    <w:rsid w:val="00AA55CB"/>
    <w:rsid w:val="00AA6055"/>
    <w:rsid w:val="00AB1ABF"/>
    <w:rsid w:val="00AB1D93"/>
    <w:rsid w:val="00AB3B0C"/>
    <w:rsid w:val="00AB3EC3"/>
    <w:rsid w:val="00AC01E3"/>
    <w:rsid w:val="00AC488F"/>
    <w:rsid w:val="00AD1BF3"/>
    <w:rsid w:val="00AD2505"/>
    <w:rsid w:val="00AD38B1"/>
    <w:rsid w:val="00AD7640"/>
    <w:rsid w:val="00AE1778"/>
    <w:rsid w:val="00AE2110"/>
    <w:rsid w:val="00AE43AA"/>
    <w:rsid w:val="00AE5BEC"/>
    <w:rsid w:val="00AE5E30"/>
    <w:rsid w:val="00AF58F3"/>
    <w:rsid w:val="00AF6851"/>
    <w:rsid w:val="00B0546A"/>
    <w:rsid w:val="00B05578"/>
    <w:rsid w:val="00B074ED"/>
    <w:rsid w:val="00B12BA9"/>
    <w:rsid w:val="00B13BA0"/>
    <w:rsid w:val="00B142D2"/>
    <w:rsid w:val="00B14730"/>
    <w:rsid w:val="00B1484F"/>
    <w:rsid w:val="00B169C1"/>
    <w:rsid w:val="00B24E54"/>
    <w:rsid w:val="00B26462"/>
    <w:rsid w:val="00B31B12"/>
    <w:rsid w:val="00B336A9"/>
    <w:rsid w:val="00B34017"/>
    <w:rsid w:val="00B40FE6"/>
    <w:rsid w:val="00B41A6C"/>
    <w:rsid w:val="00B42EC4"/>
    <w:rsid w:val="00B50A03"/>
    <w:rsid w:val="00B54285"/>
    <w:rsid w:val="00B566EA"/>
    <w:rsid w:val="00B63D47"/>
    <w:rsid w:val="00B64625"/>
    <w:rsid w:val="00B652FC"/>
    <w:rsid w:val="00B65807"/>
    <w:rsid w:val="00B66A30"/>
    <w:rsid w:val="00B721AE"/>
    <w:rsid w:val="00B73B20"/>
    <w:rsid w:val="00B73D73"/>
    <w:rsid w:val="00B74825"/>
    <w:rsid w:val="00B76B05"/>
    <w:rsid w:val="00B76B78"/>
    <w:rsid w:val="00B76F7B"/>
    <w:rsid w:val="00B840B8"/>
    <w:rsid w:val="00B84336"/>
    <w:rsid w:val="00B8535B"/>
    <w:rsid w:val="00B85CE1"/>
    <w:rsid w:val="00B8674A"/>
    <w:rsid w:val="00B87B55"/>
    <w:rsid w:val="00B930BE"/>
    <w:rsid w:val="00B936C8"/>
    <w:rsid w:val="00B954DB"/>
    <w:rsid w:val="00B972B3"/>
    <w:rsid w:val="00BA1840"/>
    <w:rsid w:val="00BA3D5C"/>
    <w:rsid w:val="00BA7C1E"/>
    <w:rsid w:val="00BB179E"/>
    <w:rsid w:val="00BB18CE"/>
    <w:rsid w:val="00BB2562"/>
    <w:rsid w:val="00BB3C36"/>
    <w:rsid w:val="00BB50A5"/>
    <w:rsid w:val="00BB663E"/>
    <w:rsid w:val="00BC2BBD"/>
    <w:rsid w:val="00BC47AD"/>
    <w:rsid w:val="00BC6D24"/>
    <w:rsid w:val="00BD0287"/>
    <w:rsid w:val="00BD055E"/>
    <w:rsid w:val="00BD2E63"/>
    <w:rsid w:val="00BD51CE"/>
    <w:rsid w:val="00BD6381"/>
    <w:rsid w:val="00BD7184"/>
    <w:rsid w:val="00BD7B32"/>
    <w:rsid w:val="00BE1C15"/>
    <w:rsid w:val="00BE35C9"/>
    <w:rsid w:val="00BE479C"/>
    <w:rsid w:val="00BE5F5F"/>
    <w:rsid w:val="00BF1BFA"/>
    <w:rsid w:val="00BF462C"/>
    <w:rsid w:val="00BF52BA"/>
    <w:rsid w:val="00BF637E"/>
    <w:rsid w:val="00C05862"/>
    <w:rsid w:val="00C05A44"/>
    <w:rsid w:val="00C1178B"/>
    <w:rsid w:val="00C11CE7"/>
    <w:rsid w:val="00C16D6F"/>
    <w:rsid w:val="00C220A8"/>
    <w:rsid w:val="00C42828"/>
    <w:rsid w:val="00C50A12"/>
    <w:rsid w:val="00C54931"/>
    <w:rsid w:val="00C5599C"/>
    <w:rsid w:val="00C56539"/>
    <w:rsid w:val="00C70982"/>
    <w:rsid w:val="00C82EB3"/>
    <w:rsid w:val="00C82EEE"/>
    <w:rsid w:val="00C85B51"/>
    <w:rsid w:val="00C8718B"/>
    <w:rsid w:val="00C934A2"/>
    <w:rsid w:val="00C95480"/>
    <w:rsid w:val="00C97522"/>
    <w:rsid w:val="00C97D88"/>
    <w:rsid w:val="00CA3B3C"/>
    <w:rsid w:val="00CA5254"/>
    <w:rsid w:val="00CA6D25"/>
    <w:rsid w:val="00CB4D2D"/>
    <w:rsid w:val="00CC319E"/>
    <w:rsid w:val="00CC7624"/>
    <w:rsid w:val="00CE2EB6"/>
    <w:rsid w:val="00CE3007"/>
    <w:rsid w:val="00CE33EE"/>
    <w:rsid w:val="00CE3A31"/>
    <w:rsid w:val="00CE3DEF"/>
    <w:rsid w:val="00CE5B3E"/>
    <w:rsid w:val="00CE5B44"/>
    <w:rsid w:val="00CF02D9"/>
    <w:rsid w:val="00CF1B4E"/>
    <w:rsid w:val="00CF5E94"/>
    <w:rsid w:val="00CF61E9"/>
    <w:rsid w:val="00CF66C4"/>
    <w:rsid w:val="00CF6E4F"/>
    <w:rsid w:val="00D0208F"/>
    <w:rsid w:val="00D10DF4"/>
    <w:rsid w:val="00D113D7"/>
    <w:rsid w:val="00D11CF9"/>
    <w:rsid w:val="00D14B44"/>
    <w:rsid w:val="00D16986"/>
    <w:rsid w:val="00D22A8F"/>
    <w:rsid w:val="00D25890"/>
    <w:rsid w:val="00D32E33"/>
    <w:rsid w:val="00D368EA"/>
    <w:rsid w:val="00D44CF5"/>
    <w:rsid w:val="00D52F25"/>
    <w:rsid w:val="00D532BD"/>
    <w:rsid w:val="00D563A5"/>
    <w:rsid w:val="00D60D7F"/>
    <w:rsid w:val="00D634B7"/>
    <w:rsid w:val="00D678B7"/>
    <w:rsid w:val="00D73AF3"/>
    <w:rsid w:val="00D7475F"/>
    <w:rsid w:val="00D76994"/>
    <w:rsid w:val="00D80347"/>
    <w:rsid w:val="00D842AA"/>
    <w:rsid w:val="00D86A8B"/>
    <w:rsid w:val="00D87DB8"/>
    <w:rsid w:val="00D91126"/>
    <w:rsid w:val="00D97CF7"/>
    <w:rsid w:val="00DA3692"/>
    <w:rsid w:val="00DA3C6D"/>
    <w:rsid w:val="00DA4F6D"/>
    <w:rsid w:val="00DA5111"/>
    <w:rsid w:val="00DA58BA"/>
    <w:rsid w:val="00DA7E2D"/>
    <w:rsid w:val="00DB2B74"/>
    <w:rsid w:val="00DB2C31"/>
    <w:rsid w:val="00DB4028"/>
    <w:rsid w:val="00DB5221"/>
    <w:rsid w:val="00DB5FE4"/>
    <w:rsid w:val="00DC63EA"/>
    <w:rsid w:val="00DC6F37"/>
    <w:rsid w:val="00DD579F"/>
    <w:rsid w:val="00DE1DC4"/>
    <w:rsid w:val="00DE2B97"/>
    <w:rsid w:val="00DE39D6"/>
    <w:rsid w:val="00DF033C"/>
    <w:rsid w:val="00DF2FAA"/>
    <w:rsid w:val="00DF3F11"/>
    <w:rsid w:val="00E010CD"/>
    <w:rsid w:val="00E02E0B"/>
    <w:rsid w:val="00E07C4C"/>
    <w:rsid w:val="00E10924"/>
    <w:rsid w:val="00E116F1"/>
    <w:rsid w:val="00E117E0"/>
    <w:rsid w:val="00E142F1"/>
    <w:rsid w:val="00E17053"/>
    <w:rsid w:val="00E26B33"/>
    <w:rsid w:val="00E27DE8"/>
    <w:rsid w:val="00E33996"/>
    <w:rsid w:val="00E34725"/>
    <w:rsid w:val="00E36467"/>
    <w:rsid w:val="00E37DFF"/>
    <w:rsid w:val="00E409EA"/>
    <w:rsid w:val="00E433E1"/>
    <w:rsid w:val="00E434F9"/>
    <w:rsid w:val="00E44406"/>
    <w:rsid w:val="00E47535"/>
    <w:rsid w:val="00E47694"/>
    <w:rsid w:val="00E50A0C"/>
    <w:rsid w:val="00E512CF"/>
    <w:rsid w:val="00E55129"/>
    <w:rsid w:val="00E56551"/>
    <w:rsid w:val="00E6511D"/>
    <w:rsid w:val="00E65E3C"/>
    <w:rsid w:val="00E73533"/>
    <w:rsid w:val="00E77A15"/>
    <w:rsid w:val="00E80D77"/>
    <w:rsid w:val="00E81551"/>
    <w:rsid w:val="00E837CD"/>
    <w:rsid w:val="00E83CF9"/>
    <w:rsid w:val="00E90983"/>
    <w:rsid w:val="00E90CF8"/>
    <w:rsid w:val="00E91617"/>
    <w:rsid w:val="00E91C1D"/>
    <w:rsid w:val="00E91EAC"/>
    <w:rsid w:val="00E92610"/>
    <w:rsid w:val="00E92CA6"/>
    <w:rsid w:val="00E942BC"/>
    <w:rsid w:val="00EB315A"/>
    <w:rsid w:val="00EB3277"/>
    <w:rsid w:val="00EB4A4F"/>
    <w:rsid w:val="00EB6683"/>
    <w:rsid w:val="00EB7A5A"/>
    <w:rsid w:val="00EC3BD6"/>
    <w:rsid w:val="00EC5367"/>
    <w:rsid w:val="00EC7200"/>
    <w:rsid w:val="00ED47FA"/>
    <w:rsid w:val="00ED5673"/>
    <w:rsid w:val="00ED5EE2"/>
    <w:rsid w:val="00ED7022"/>
    <w:rsid w:val="00EE4205"/>
    <w:rsid w:val="00EF64EA"/>
    <w:rsid w:val="00EF6EAF"/>
    <w:rsid w:val="00F0091B"/>
    <w:rsid w:val="00F03708"/>
    <w:rsid w:val="00F04946"/>
    <w:rsid w:val="00F053DB"/>
    <w:rsid w:val="00F105F1"/>
    <w:rsid w:val="00F107B4"/>
    <w:rsid w:val="00F11CF5"/>
    <w:rsid w:val="00F12405"/>
    <w:rsid w:val="00F13AEF"/>
    <w:rsid w:val="00F168DA"/>
    <w:rsid w:val="00F21BD2"/>
    <w:rsid w:val="00F242F4"/>
    <w:rsid w:val="00F254A5"/>
    <w:rsid w:val="00F25ADA"/>
    <w:rsid w:val="00F2664F"/>
    <w:rsid w:val="00F268BF"/>
    <w:rsid w:val="00F316ED"/>
    <w:rsid w:val="00F319F4"/>
    <w:rsid w:val="00F3282D"/>
    <w:rsid w:val="00F35BAE"/>
    <w:rsid w:val="00F364A3"/>
    <w:rsid w:val="00F3730B"/>
    <w:rsid w:val="00F4058F"/>
    <w:rsid w:val="00F455FC"/>
    <w:rsid w:val="00F46575"/>
    <w:rsid w:val="00F5023F"/>
    <w:rsid w:val="00F513BD"/>
    <w:rsid w:val="00F515EF"/>
    <w:rsid w:val="00F51CFB"/>
    <w:rsid w:val="00F53114"/>
    <w:rsid w:val="00F56AC3"/>
    <w:rsid w:val="00F60E64"/>
    <w:rsid w:val="00F60F7B"/>
    <w:rsid w:val="00F630EB"/>
    <w:rsid w:val="00F644C3"/>
    <w:rsid w:val="00F65EE4"/>
    <w:rsid w:val="00F7243A"/>
    <w:rsid w:val="00F80463"/>
    <w:rsid w:val="00F80C03"/>
    <w:rsid w:val="00F85344"/>
    <w:rsid w:val="00F861DC"/>
    <w:rsid w:val="00F910D5"/>
    <w:rsid w:val="00F942F8"/>
    <w:rsid w:val="00F94892"/>
    <w:rsid w:val="00F963AC"/>
    <w:rsid w:val="00FA1731"/>
    <w:rsid w:val="00FA3DEE"/>
    <w:rsid w:val="00FA4D27"/>
    <w:rsid w:val="00FA699C"/>
    <w:rsid w:val="00FB07B8"/>
    <w:rsid w:val="00FB1522"/>
    <w:rsid w:val="00FB27F7"/>
    <w:rsid w:val="00FB498B"/>
    <w:rsid w:val="00FB5425"/>
    <w:rsid w:val="00FC117B"/>
    <w:rsid w:val="00FC1900"/>
    <w:rsid w:val="00FC6181"/>
    <w:rsid w:val="00FC67C2"/>
    <w:rsid w:val="00FC69D5"/>
    <w:rsid w:val="00FC7C56"/>
    <w:rsid w:val="00FD16A9"/>
    <w:rsid w:val="00FD47AA"/>
    <w:rsid w:val="00FE0580"/>
    <w:rsid w:val="00FE238D"/>
    <w:rsid w:val="00FE409F"/>
    <w:rsid w:val="00FE50AA"/>
    <w:rsid w:val="00FF2044"/>
    <w:rsid w:val="00FF34FC"/>
    <w:rsid w:val="00FF49D3"/>
    <w:rsid w:val="00FF55BA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1815"/>
  <w15:chartTrackingRefBased/>
  <w15:docId w15:val="{80ACF85F-8A7D-42B3-A841-83FCE48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35"/>
    <w:pPr>
      <w:ind w:left="720"/>
      <w:contextualSpacing/>
    </w:pPr>
  </w:style>
  <w:style w:type="table" w:styleId="TableGrid">
    <w:name w:val="Table Grid"/>
    <w:basedOn w:val="TableNormal"/>
    <w:uiPriority w:val="39"/>
    <w:rsid w:val="006B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3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803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3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51"/>
  </w:style>
  <w:style w:type="paragraph" w:styleId="Footer">
    <w:name w:val="footer"/>
    <w:basedOn w:val="Normal"/>
    <w:link w:val="FooterChar"/>
    <w:uiPriority w:val="99"/>
    <w:unhideWhenUsed/>
    <w:rsid w:val="00AF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5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lammer@yahoo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eda_2\Documents\Freda\Graphs\UPD%209_30\Co%20vs%20Other%20Staff%20bar%20Chart%20-2019-09-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eda_2\Documents\Freda\Graphs\prison%20vs%20staff%20COs%20New%209_3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Number of Staff by Job Category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pivot!$F$2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5078300435095405"/>
                  <c:y val="1.22137385003324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2E-422E-8E32-3D10CB1CB383}"/>
                </c:ext>
              </c:extLst>
            </c:dLbl>
            <c:dLbl>
              <c:idx val="1"/>
              <c:layout>
                <c:manualLayout>
                  <c:x val="6.789574249515351E-2"/>
                  <c:y val="4.07124616677747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2E-422E-8E32-3D10CB1CB383}"/>
                </c:ext>
              </c:extLst>
            </c:dLbl>
            <c:dLbl>
              <c:idx val="2"/>
              <c:layout>
                <c:manualLayout>
                  <c:x val="3.556190789928111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2E-422E-8E32-3D10CB1CB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pivot!$E$3:$E$14</c:f>
              <c:strCache>
                <c:ptCount val="12"/>
                <c:pt idx="0">
                  <c:v>Corrections Officer</c:v>
                </c:pt>
                <c:pt idx="1">
                  <c:v>Vocational Instructor</c:v>
                </c:pt>
                <c:pt idx="2">
                  <c:v>Teacher</c:v>
                </c:pt>
                <c:pt idx="3">
                  <c:v>Mental Health Prof.</c:v>
                </c:pt>
                <c:pt idx="4">
                  <c:v>Recreation Officer</c:v>
                </c:pt>
                <c:pt idx="5">
                  <c:v>Chaplain</c:v>
                </c:pt>
                <c:pt idx="6">
                  <c:v>Addiction Counselor</c:v>
                </c:pt>
                <c:pt idx="7">
                  <c:v>Psychiatrist</c:v>
                </c:pt>
                <c:pt idx="8">
                  <c:v>Psychologist</c:v>
                </c:pt>
                <c:pt idx="9">
                  <c:v>Reentry Coordinator</c:v>
                </c:pt>
                <c:pt idx="10">
                  <c:v>GED Teacher</c:v>
                </c:pt>
                <c:pt idx="11">
                  <c:v>College/Career Coordinator</c:v>
                </c:pt>
              </c:strCache>
            </c:strRef>
          </c:cat>
          <c:val>
            <c:numRef>
              <c:f>pivot!$F$3:$F$14</c:f>
              <c:numCache>
                <c:formatCode>General</c:formatCode>
                <c:ptCount val="12"/>
                <c:pt idx="0">
                  <c:v>3872</c:v>
                </c:pt>
                <c:pt idx="1">
                  <c:v>262</c:v>
                </c:pt>
                <c:pt idx="2">
                  <c:v>86</c:v>
                </c:pt>
                <c:pt idx="3">
                  <c:v>77</c:v>
                </c:pt>
                <c:pt idx="4">
                  <c:v>57</c:v>
                </c:pt>
                <c:pt idx="5">
                  <c:v>32</c:v>
                </c:pt>
                <c:pt idx="6">
                  <c:v>18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2E-422E-8E32-3D10CB1CB3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0373856"/>
        <c:axId val="410374640"/>
      </c:barChart>
      <c:catAx>
        <c:axId val="41037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374640"/>
        <c:crosses val="autoZero"/>
        <c:auto val="1"/>
        <c:lblAlgn val="ctr"/>
        <c:lblOffset val="100"/>
        <c:noMultiLvlLbl val="0"/>
      </c:catAx>
      <c:valAx>
        <c:axId val="410374640"/>
        <c:scaling>
          <c:orientation val="minMax"/>
          <c:max val="4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37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Number of Inmates vs. of Corrections Officers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prisoners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Sheet1!$B$5:$B$9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Sheet1!$C$5:$C$9</c:f>
              <c:numCache>
                <c:formatCode>_(* #,##0_);_(* \(#,##0\);_(* "-"??_);_(@_)</c:formatCode>
                <c:ptCount val="5"/>
                <c:pt idx="0">
                  <c:v>10813</c:v>
                </c:pt>
                <c:pt idx="1">
                  <c:v>10014</c:v>
                </c:pt>
                <c:pt idx="2">
                  <c:v>9496</c:v>
                </c:pt>
                <c:pt idx="3">
                  <c:v>9207</c:v>
                </c:pt>
                <c:pt idx="4">
                  <c:v>8764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58-4DBC-B992-F918A5AB7370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Corr. Officers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3872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6E-4DB0-B849-DB12FD818D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Sheet1!$B$5:$B$9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Sheet1!$D$5:$D$9</c:f>
              <c:numCache>
                <c:formatCode>General</c:formatCode>
                <c:ptCount val="5"/>
                <c:pt idx="0">
                  <c:v>4205</c:v>
                </c:pt>
                <c:pt idx="1">
                  <c:v>4019</c:v>
                </c:pt>
                <c:pt idx="2">
                  <c:v>3824</c:v>
                </c:pt>
                <c:pt idx="3">
                  <c:v>3913</c:v>
                </c:pt>
                <c:pt idx="4">
                  <c:v>3871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58-4DBC-B992-F918A5AB737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09758160"/>
        <c:axId val="409758552"/>
      </c:lineChart>
      <c:catAx>
        <c:axId val="40975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758552"/>
        <c:crosses val="autoZero"/>
        <c:auto val="1"/>
        <c:lblAlgn val="ctr"/>
        <c:lblOffset val="100"/>
        <c:noMultiLvlLbl val="0"/>
      </c:catAx>
      <c:valAx>
        <c:axId val="40975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7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ABFA-4349-4C67-A7FD-0F93AAF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Flammer</dc:creator>
  <cp:keywords/>
  <dc:description/>
  <cp:lastModifiedBy>Landry, AnneJohnson (SEN)</cp:lastModifiedBy>
  <cp:revision>2</cp:revision>
  <cp:lastPrinted>2019-11-22T00:57:00Z</cp:lastPrinted>
  <dcterms:created xsi:type="dcterms:W3CDTF">2019-11-27T14:26:00Z</dcterms:created>
  <dcterms:modified xsi:type="dcterms:W3CDTF">2019-11-27T14:26:00Z</dcterms:modified>
</cp:coreProperties>
</file>